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1B15" w:rsidRPr="007D683D" w:rsidRDefault="00351B15" w:rsidP="00351B15">
      <w:pPr>
        <w:pStyle w:val="Nadpis1"/>
        <w:keepLines/>
        <w:spacing w:line="240" w:lineRule="auto"/>
        <w:ind w:left="567" w:hanging="567"/>
        <w:jc w:val="both"/>
      </w:pPr>
      <w:bookmarkStart w:id="0" w:name="_Toc38284092"/>
      <w:bookmarkStart w:id="1" w:name="_Toc38303847"/>
      <w:bookmarkStart w:id="2" w:name="_Toc41937111"/>
      <w:r w:rsidRPr="00C00AAB">
        <w:t>Akční plán</w:t>
      </w:r>
      <w:bookmarkEnd w:id="0"/>
      <w:r w:rsidRPr="00C00AAB">
        <w:t xml:space="preserve"> </w:t>
      </w:r>
      <w:bookmarkEnd w:id="1"/>
      <w:r>
        <w:t xml:space="preserve">obce Veselá </w:t>
      </w:r>
      <w:r w:rsidRPr="00F268D5">
        <w:t>– rok 2020-2021</w:t>
      </w:r>
      <w:bookmarkEnd w:id="2"/>
    </w:p>
    <w:p w:rsidR="00351B15" w:rsidRDefault="00351B15" w:rsidP="00351B15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351B15" w:rsidRPr="00D57679" w:rsidRDefault="00351B15" w:rsidP="006F6D8F">
            <w:r>
              <w:t>1. Čištění odpadních vod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351B15" w:rsidRPr="00D57679" w:rsidRDefault="00351B15" w:rsidP="006F6D8F">
            <w:pPr>
              <w:rPr>
                <w:b/>
              </w:rPr>
            </w:pPr>
            <w:r>
              <w:t>Vybudování biologického (dočišťovacího rybníka) – alternativní řešení čištění odpadních vod– fáze posouzení možností, přínosů a nákladů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351B15" w:rsidRDefault="00351B15" w:rsidP="006F6D8F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Stanovisko Povodí Vltava k vypouštění odpadních </w:t>
            </w:r>
            <w:proofErr w:type="gramStart"/>
            <w:r>
              <w:rPr>
                <w:highlight w:val="white"/>
              </w:rPr>
              <w:t>vod - nepovolené</w:t>
            </w:r>
            <w:proofErr w:type="gramEnd"/>
            <w:r>
              <w:rPr>
                <w:highlight w:val="white"/>
              </w:rPr>
              <w:t xml:space="preserve"> limity znečištění – opatření k nápravě přijmout do 2021.</w:t>
            </w:r>
          </w:p>
          <w:p w:rsidR="00351B15" w:rsidRPr="00D57679" w:rsidRDefault="00351B15" w:rsidP="006F6D8F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351B15" w:rsidRPr="00D57679" w:rsidRDefault="00351B15" w:rsidP="006F6D8F">
            <w:r w:rsidRPr="00D57679">
              <w:t>SC 2 Kvalita života a prostředí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Priorita:</w:t>
            </w:r>
          </w:p>
        </w:tc>
        <w:tc>
          <w:tcPr>
            <w:tcW w:w="6804" w:type="dxa"/>
          </w:tcPr>
          <w:p w:rsidR="00351B15" w:rsidRPr="00D57679" w:rsidRDefault="00351B15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Opatření:</w:t>
            </w:r>
          </w:p>
        </w:tc>
        <w:tc>
          <w:tcPr>
            <w:tcW w:w="6804" w:type="dxa"/>
          </w:tcPr>
          <w:p w:rsidR="00351B15" w:rsidRPr="00D57679" w:rsidRDefault="00351B15" w:rsidP="006F6D8F">
            <w:r>
              <w:t>2.3 Kanalizace a ČOV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Indikátor:</w:t>
            </w:r>
          </w:p>
        </w:tc>
        <w:tc>
          <w:tcPr>
            <w:tcW w:w="6804" w:type="dxa"/>
          </w:tcPr>
          <w:p w:rsidR="00351B15" w:rsidRPr="00D57679" w:rsidRDefault="00351B15" w:rsidP="006F6D8F">
            <w:r>
              <w:t>dokument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351B15" w:rsidRPr="00D57679" w:rsidRDefault="00351B15" w:rsidP="006F6D8F">
            <w:r w:rsidRPr="00D57679">
              <w:t>31. 10. 2021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Zdroje:</w:t>
            </w:r>
          </w:p>
        </w:tc>
        <w:tc>
          <w:tcPr>
            <w:tcW w:w="6804" w:type="dxa"/>
          </w:tcPr>
          <w:p w:rsidR="00351B15" w:rsidRPr="00D57679" w:rsidRDefault="00351B15" w:rsidP="006F6D8F">
            <w:r w:rsidRPr="00D57679">
              <w:t>dotace + vlastní zdroje</w:t>
            </w:r>
          </w:p>
        </w:tc>
      </w:tr>
    </w:tbl>
    <w:p w:rsidR="00351B15" w:rsidRDefault="00351B15" w:rsidP="00351B15"/>
    <w:p w:rsidR="00351B15" w:rsidRDefault="00351B15" w:rsidP="00351B15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bookmarkStart w:id="3" w:name="_Hlk41915695"/>
            <w:r>
              <w:t>Číslo a název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>2. Zpracování nového územního plánu – dokument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Charakteristika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 xml:space="preserve">Nové zpracování všech částí ÚPD 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rPr>
                <w:highlight w:val="white"/>
              </w:rPr>
              <w:t>Zadání a zpracování aktualizace ÚP</w:t>
            </w:r>
            <w:r>
              <w:t xml:space="preserve"> v souladu s potřebami obce, územní studie napojení obslužných komunikací a řešení veřejného prostoru </w:t>
            </w:r>
            <w:proofErr w:type="gramStart"/>
            <w:r>
              <w:t>-  nové</w:t>
            </w:r>
            <w:proofErr w:type="gramEnd"/>
            <w:r>
              <w:t xml:space="preserve"> parcely pro bydlení. 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Strategický cíl: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SC 3 Občanská společnost a veřejná správa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Priorita: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3</w:t>
            </w:r>
            <w:r w:rsidRPr="00A16813">
              <w:t xml:space="preserve">. </w:t>
            </w:r>
            <w:r>
              <w:t>Společné plánování a informování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Opatření: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3</w:t>
            </w:r>
            <w:r w:rsidRPr="00A16813">
              <w:t xml:space="preserve">.1 </w:t>
            </w:r>
            <w:r>
              <w:t>Aktualizace územního plánu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Indikátor:</w:t>
            </w:r>
          </w:p>
        </w:tc>
        <w:tc>
          <w:tcPr>
            <w:tcW w:w="6804" w:type="dxa"/>
          </w:tcPr>
          <w:p w:rsidR="00351B15" w:rsidRDefault="00351B15" w:rsidP="006F6D8F">
            <w:r>
              <w:t>počet aktivit ve veřejném zájmu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Dosažení indikátoru:</w:t>
            </w:r>
          </w:p>
        </w:tc>
        <w:tc>
          <w:tcPr>
            <w:tcW w:w="6804" w:type="dxa"/>
          </w:tcPr>
          <w:p w:rsidR="00351B15" w:rsidRDefault="00351B15" w:rsidP="006F6D8F">
            <w:r>
              <w:t>31. 10. 2021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Zdroje:</w:t>
            </w:r>
          </w:p>
        </w:tc>
        <w:tc>
          <w:tcPr>
            <w:tcW w:w="6804" w:type="dxa"/>
          </w:tcPr>
          <w:p w:rsidR="00351B15" w:rsidRDefault="00351B15" w:rsidP="006F6D8F">
            <w:r>
              <w:t>vlastní zdroje/dotace kraje</w:t>
            </w:r>
          </w:p>
        </w:tc>
      </w:tr>
      <w:bookmarkEnd w:id="3"/>
    </w:tbl>
    <w:p w:rsidR="00351B15" w:rsidRDefault="00351B15" w:rsidP="00351B15"/>
    <w:p w:rsidR="00351B15" w:rsidRDefault="00351B15" w:rsidP="00351B15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lastRenderedPageBreak/>
              <w:t>Číslo a název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>3.</w:t>
            </w:r>
            <w:r w:rsidRPr="004C015D">
              <w:t xml:space="preserve"> Přemístění vodovodu na obecní pozemky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Charakteristika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>Směny pozemků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>Nesoulad mezi vlastnictvím technické infrastruktury a pozemků, na kterých je vybudována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Strategický cíl: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SC 3 Občanská společnost a veřejná správa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Priorita: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5</w:t>
            </w:r>
            <w:r w:rsidRPr="00A16813">
              <w:t xml:space="preserve">. </w:t>
            </w:r>
            <w:r>
              <w:t>Veřejný prostor a infrastruktura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Opatření:</w:t>
            </w:r>
          </w:p>
        </w:tc>
        <w:tc>
          <w:tcPr>
            <w:tcW w:w="6804" w:type="dxa"/>
            <w:vAlign w:val="bottom"/>
          </w:tcPr>
          <w:p w:rsidR="00351B15" w:rsidRPr="00FB4E45" w:rsidRDefault="00351B15" w:rsidP="006F6D8F">
            <w:r>
              <w:t>5.6 Rozvoj tech. infrastruktury a vybavení – pořízení, obnova, inovace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Indikátor:</w:t>
            </w:r>
          </w:p>
        </w:tc>
        <w:tc>
          <w:tcPr>
            <w:tcW w:w="6804" w:type="dxa"/>
          </w:tcPr>
          <w:p w:rsidR="00351B15" w:rsidRDefault="00351B15" w:rsidP="006F6D8F">
            <w:r>
              <w:t>počet aktivit ve veřejném zájmu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Dosažení indikátoru:</w:t>
            </w:r>
          </w:p>
        </w:tc>
        <w:tc>
          <w:tcPr>
            <w:tcW w:w="6804" w:type="dxa"/>
          </w:tcPr>
          <w:p w:rsidR="00351B15" w:rsidRDefault="00351B15" w:rsidP="006F6D8F">
            <w:r>
              <w:t>31. 10. 2021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Zdroje:</w:t>
            </w:r>
          </w:p>
        </w:tc>
        <w:tc>
          <w:tcPr>
            <w:tcW w:w="6804" w:type="dxa"/>
          </w:tcPr>
          <w:p w:rsidR="00351B15" w:rsidRDefault="00351B15" w:rsidP="006F6D8F">
            <w:r>
              <w:t>vlastní zdroje/dotace kraje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Podmínka k realizaci:</w:t>
            </w:r>
          </w:p>
        </w:tc>
        <w:tc>
          <w:tcPr>
            <w:tcW w:w="6804" w:type="dxa"/>
          </w:tcPr>
          <w:p w:rsidR="00351B15" w:rsidRDefault="00351B15" w:rsidP="006F6D8F">
            <w:r>
              <w:t>Dokončení pozemkových úprav</w:t>
            </w:r>
          </w:p>
        </w:tc>
      </w:tr>
    </w:tbl>
    <w:p w:rsidR="00351B15" w:rsidRDefault="00351B15" w:rsidP="00351B15"/>
    <w:p w:rsidR="00351B15" w:rsidRDefault="00351B15" w:rsidP="00351B15"/>
    <w:p w:rsidR="00351B15" w:rsidRDefault="00351B15" w:rsidP="00351B15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Číslo a název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 xml:space="preserve">4. Iniciace vybudování obchvatu obce 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Charakteristika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rPr>
                <w:color w:val="000000"/>
              </w:rPr>
              <w:t>O</w:t>
            </w:r>
            <w:r>
              <w:t>patření vedoucí ke snížení frekvence provozu a zvýšení bezpečnosti v obci – jednání s Krajem Vysočina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 xml:space="preserve">Obec ulicového typu je rozdělena procházející </w:t>
            </w:r>
            <w:proofErr w:type="gramStart"/>
            <w:r>
              <w:t>silnicí ,</w:t>
            </w:r>
            <w:proofErr w:type="gramEnd"/>
            <w:r>
              <w:t xml:space="preserve"> nebezpečí při přecházení kvůli vysoké průjezdnosti. Vysoká frekvence dopravy, projíždějící auta nedodržují rychlost v obci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Strategický cíl: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SC 2 Kvalita života a prostředí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Priorita: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1</w:t>
            </w:r>
            <w:r w:rsidRPr="00A16813">
              <w:t xml:space="preserve">. </w:t>
            </w:r>
            <w:r>
              <w:t>Dostupnost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Opatření:</w:t>
            </w:r>
          </w:p>
        </w:tc>
        <w:tc>
          <w:tcPr>
            <w:tcW w:w="6804" w:type="dxa"/>
          </w:tcPr>
          <w:p w:rsidR="00351B15" w:rsidRPr="00A16813" w:rsidRDefault="00351B15" w:rsidP="006F6D8F">
            <w:r w:rsidRPr="00A16813">
              <w:t>1</w:t>
            </w:r>
            <w:r>
              <w:t>.3</w:t>
            </w:r>
            <w:r w:rsidRPr="00A16813">
              <w:t xml:space="preserve"> </w:t>
            </w:r>
            <w:r>
              <w:t>Podmínky pro bezpečnou a alternativní dopravu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Indikátor:</w:t>
            </w:r>
          </w:p>
        </w:tc>
        <w:tc>
          <w:tcPr>
            <w:tcW w:w="6804" w:type="dxa"/>
          </w:tcPr>
          <w:p w:rsidR="00351B15" w:rsidRDefault="00351B15" w:rsidP="006F6D8F">
            <w:r>
              <w:t>dokument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Dosažení indikátoru:</w:t>
            </w:r>
          </w:p>
        </w:tc>
        <w:tc>
          <w:tcPr>
            <w:tcW w:w="6804" w:type="dxa"/>
          </w:tcPr>
          <w:p w:rsidR="00351B15" w:rsidRDefault="00351B15" w:rsidP="006F6D8F">
            <w:r>
              <w:t>31. 10. 2021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Zdroje:</w:t>
            </w:r>
          </w:p>
        </w:tc>
        <w:tc>
          <w:tcPr>
            <w:tcW w:w="6804" w:type="dxa"/>
          </w:tcPr>
          <w:p w:rsidR="00351B15" w:rsidRDefault="00351B15" w:rsidP="006F6D8F">
            <w:r>
              <w:t>Vlastní prostředky ve vazbě na rozpočet Kraje Vysočina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kladné stanovisko dotčených orgánů</w:t>
            </w:r>
          </w:p>
        </w:tc>
      </w:tr>
    </w:tbl>
    <w:p w:rsidR="00351B15" w:rsidRDefault="00351B15" w:rsidP="00351B15">
      <w:r>
        <w:br w:type="page"/>
      </w:r>
    </w:p>
    <w:p w:rsidR="00351B15" w:rsidRDefault="00351B15" w:rsidP="00351B15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351B15" w:rsidRPr="00114A61" w:rsidRDefault="00351B15" w:rsidP="006F6D8F">
            <w:r>
              <w:t>5</w:t>
            </w:r>
            <w:r w:rsidRPr="00114A61">
              <w:t>. Oprava místní komunikace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Charakteristika aktivity:</w:t>
            </w:r>
          </w:p>
        </w:tc>
        <w:tc>
          <w:tcPr>
            <w:tcW w:w="6804" w:type="dxa"/>
            <w:vAlign w:val="center"/>
          </w:tcPr>
          <w:p w:rsidR="00351B15" w:rsidRPr="009775D0" w:rsidRDefault="00351B15" w:rsidP="006F6D8F">
            <w:proofErr w:type="gramStart"/>
            <w:r>
              <w:t xml:space="preserve">Oprava </w:t>
            </w:r>
            <w:r w:rsidRPr="00B31CAD">
              <w:t xml:space="preserve"> místní</w:t>
            </w:r>
            <w:proofErr w:type="gramEnd"/>
            <w:r w:rsidRPr="00B31CAD">
              <w:t xml:space="preserve"> komunikace 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Zdůvodnění potřeby dan</w:t>
            </w:r>
            <w:r>
              <w:t>é</w:t>
            </w:r>
            <w:r w:rsidRPr="00D57679">
              <w:t xml:space="preserve"> aktivity:</w:t>
            </w:r>
          </w:p>
        </w:tc>
        <w:tc>
          <w:tcPr>
            <w:tcW w:w="6804" w:type="dxa"/>
          </w:tcPr>
          <w:p w:rsidR="00351B15" w:rsidRPr="00D57679" w:rsidRDefault="00351B15" w:rsidP="006F6D8F">
            <w:r>
              <w:rPr>
                <w:highlight w:val="white"/>
              </w:rPr>
              <w:t>Špatný stav,</w:t>
            </w:r>
            <w:r>
              <w:t xml:space="preserve"> často používaná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351B15" w:rsidRPr="00D57679" w:rsidRDefault="00351B15" w:rsidP="006F6D8F">
            <w:r w:rsidRPr="00D57679">
              <w:t>SC 2 Kvalita života a prostředí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Priorita:</w:t>
            </w:r>
          </w:p>
        </w:tc>
        <w:tc>
          <w:tcPr>
            <w:tcW w:w="6804" w:type="dxa"/>
          </w:tcPr>
          <w:p w:rsidR="00351B15" w:rsidRPr="00D57679" w:rsidRDefault="00351B15" w:rsidP="006F6D8F">
            <w:r>
              <w:t>1. Dostupnost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C82B18" w:rsidRDefault="00351B15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351B15" w:rsidRDefault="00351B15" w:rsidP="006F6D8F">
            <w:r w:rsidRPr="00C82B18">
              <w:t>1.2</w:t>
            </w:r>
            <w:r>
              <w:t xml:space="preserve"> Dopravní obslužnost obce a dostupnost služeb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C82B18" w:rsidRDefault="00351B15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351B15" w:rsidRDefault="00351B15" w:rsidP="006F6D8F">
            <w:r w:rsidRPr="00C82B18">
              <w:t>1.3</w:t>
            </w:r>
            <w:r>
              <w:t xml:space="preserve"> Podmínky pro bezpečnou a alternativní dopravu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Indikátor:</w:t>
            </w:r>
          </w:p>
        </w:tc>
        <w:tc>
          <w:tcPr>
            <w:tcW w:w="6804" w:type="dxa"/>
          </w:tcPr>
          <w:p w:rsidR="00351B15" w:rsidRPr="00D57679" w:rsidRDefault="00351B15" w:rsidP="006F6D8F">
            <w:r w:rsidRPr="00D57679">
              <w:t>km modernizované infrastruktury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351B15" w:rsidRPr="00D57679" w:rsidRDefault="00351B15" w:rsidP="006F6D8F">
            <w:r w:rsidRPr="00D57679">
              <w:t>31. 10. 202</w:t>
            </w:r>
            <w:r>
              <w:t>1</w:t>
            </w:r>
          </w:p>
        </w:tc>
      </w:tr>
      <w:tr w:rsidR="00351B15" w:rsidRPr="00D57679" w:rsidTr="006F6D8F">
        <w:tc>
          <w:tcPr>
            <w:tcW w:w="2660" w:type="dxa"/>
            <w:shd w:val="clear" w:color="auto" w:fill="6ABAC5"/>
          </w:tcPr>
          <w:p w:rsidR="00351B15" w:rsidRPr="00D57679" w:rsidRDefault="00351B15" w:rsidP="006F6D8F">
            <w:r w:rsidRPr="00D57679">
              <w:t>Zdroje:</w:t>
            </w:r>
          </w:p>
        </w:tc>
        <w:tc>
          <w:tcPr>
            <w:tcW w:w="6804" w:type="dxa"/>
          </w:tcPr>
          <w:p w:rsidR="00351B15" w:rsidRPr="00D57679" w:rsidRDefault="00351B15" w:rsidP="006F6D8F">
            <w:r w:rsidRPr="00D57679">
              <w:t>dotace z</w:t>
            </w:r>
            <w:r>
              <w:t>e SR</w:t>
            </w:r>
            <w:r w:rsidRPr="00D57679">
              <w:t xml:space="preserve"> </w:t>
            </w:r>
            <w:r>
              <w:t>(MMR)</w:t>
            </w:r>
            <w:r w:rsidRPr="00D57679">
              <w:t>+ vlastní zdroje</w:t>
            </w:r>
          </w:p>
        </w:tc>
      </w:tr>
    </w:tbl>
    <w:p w:rsidR="00351B15" w:rsidRDefault="00351B15" w:rsidP="00351B15"/>
    <w:p w:rsidR="00351B15" w:rsidRDefault="00351B15" w:rsidP="00351B15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Číslo a název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>6. Umístění zpomalovacího semaforu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Charakteristika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 xml:space="preserve">Osazení komunikace </w:t>
            </w:r>
            <w:r>
              <w:rPr>
                <w:color w:val="000000"/>
              </w:rPr>
              <w:t>z</w:t>
            </w:r>
            <w:r w:rsidRPr="00B31CAD">
              <w:rPr>
                <w:color w:val="000000"/>
              </w:rPr>
              <w:t>pomalovací</w:t>
            </w:r>
            <w:r>
              <w:rPr>
                <w:color w:val="000000"/>
              </w:rPr>
              <w:t>m</w:t>
            </w:r>
            <w:r w:rsidRPr="00B31CAD">
              <w:rPr>
                <w:color w:val="000000"/>
              </w:rPr>
              <w:t xml:space="preserve"> </w:t>
            </w:r>
            <w:proofErr w:type="gramStart"/>
            <w:r w:rsidRPr="00B31CAD">
              <w:rPr>
                <w:color w:val="000000"/>
              </w:rPr>
              <w:t>semafor</w:t>
            </w:r>
            <w:r>
              <w:rPr>
                <w:color w:val="000000"/>
              </w:rPr>
              <w:t xml:space="preserve">em - </w:t>
            </w:r>
            <w:r>
              <w:t>opatření</w:t>
            </w:r>
            <w:proofErr w:type="gramEnd"/>
            <w:r>
              <w:t xml:space="preserve"> vedoucí ke snížení rychlosti projíždějících aut a zvýšení bezpečnosti v obci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>Obec ulicového typu je rozdělena procházející silnicí– nebezpečí při přecházení kvůli vysoké průjezdnosti. Projíždějící auta nedodržují rychlost v obci zejména od směru Počátky, nebezpečný úsek.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Strategický cíl: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SC 2 Kvalita života a prostředí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Priorita: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1</w:t>
            </w:r>
            <w:r w:rsidRPr="00A16813">
              <w:t xml:space="preserve">. </w:t>
            </w:r>
            <w:r>
              <w:t>Dostupnost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Opatření:</w:t>
            </w:r>
          </w:p>
        </w:tc>
        <w:tc>
          <w:tcPr>
            <w:tcW w:w="6804" w:type="dxa"/>
          </w:tcPr>
          <w:p w:rsidR="00351B15" w:rsidRPr="00A16813" w:rsidRDefault="00351B15" w:rsidP="006F6D8F">
            <w:r w:rsidRPr="00A16813">
              <w:t>1</w:t>
            </w:r>
            <w:r>
              <w:t>.3</w:t>
            </w:r>
            <w:r w:rsidRPr="00A16813">
              <w:t xml:space="preserve"> </w:t>
            </w:r>
            <w:r>
              <w:t>Podmínky pro bezpečnou a alternativní dopravu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Indikátor:</w:t>
            </w:r>
          </w:p>
        </w:tc>
        <w:tc>
          <w:tcPr>
            <w:tcW w:w="6804" w:type="dxa"/>
          </w:tcPr>
          <w:p w:rsidR="00351B15" w:rsidRDefault="00351B15" w:rsidP="006F6D8F">
            <w:r>
              <w:t xml:space="preserve">opatření vedoucí ke zvýšení bezpečnosti – počet 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Dosažení indikátoru:</w:t>
            </w:r>
          </w:p>
        </w:tc>
        <w:tc>
          <w:tcPr>
            <w:tcW w:w="6804" w:type="dxa"/>
          </w:tcPr>
          <w:p w:rsidR="00351B15" w:rsidRDefault="00351B15" w:rsidP="006F6D8F">
            <w:r>
              <w:t>31. 10. 2021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Zdroje:</w:t>
            </w:r>
          </w:p>
        </w:tc>
        <w:tc>
          <w:tcPr>
            <w:tcW w:w="6804" w:type="dxa"/>
          </w:tcPr>
          <w:p w:rsidR="00351B15" w:rsidRDefault="00351B15" w:rsidP="006F6D8F">
            <w:r>
              <w:t>vlastní zdroje + dotace Kraje Vysočina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kladné stanovisko dotčených orgánů</w:t>
            </w:r>
          </w:p>
        </w:tc>
      </w:tr>
    </w:tbl>
    <w:p w:rsidR="00351B15" w:rsidRDefault="00351B15" w:rsidP="00351B15"/>
    <w:p w:rsidR="00351B15" w:rsidRDefault="00351B15" w:rsidP="00351B15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lastRenderedPageBreak/>
              <w:t>Číslo a název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>7.</w:t>
            </w:r>
            <w:r w:rsidRPr="009775D0">
              <w:t xml:space="preserve"> Nákup nové komunální techniky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Charakteristika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>Nákup nové komunální techniky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351B15" w:rsidRDefault="00351B15" w:rsidP="006F6D8F">
            <w:r>
              <w:t>Obnova a rozšíření komunální techniky – víceúčelové, pro sečení a údržbu zeleně, ochrana a údržba majetku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Strategický cíl: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SC 2 Kvalita života a prostředí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Priorita:</w:t>
            </w:r>
          </w:p>
        </w:tc>
        <w:tc>
          <w:tcPr>
            <w:tcW w:w="6804" w:type="dxa"/>
          </w:tcPr>
          <w:p w:rsidR="00351B15" w:rsidRPr="00A16813" w:rsidRDefault="00351B15" w:rsidP="006F6D8F">
            <w:r>
              <w:t>5</w:t>
            </w:r>
            <w:r w:rsidRPr="00A16813">
              <w:t xml:space="preserve">. </w:t>
            </w:r>
            <w:r>
              <w:t>Veřejná správa a infrastruktura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Opatření:</w:t>
            </w:r>
          </w:p>
        </w:tc>
        <w:tc>
          <w:tcPr>
            <w:tcW w:w="6804" w:type="dxa"/>
          </w:tcPr>
          <w:p w:rsidR="00351B15" w:rsidRPr="00EC0840" w:rsidRDefault="00351B15" w:rsidP="006F6D8F">
            <w:pPr>
              <w:rPr>
                <w:vertAlign w:val="superscript"/>
              </w:rPr>
            </w:pPr>
            <w:r>
              <w:t>5.6 Rozvoj technické infrastruktury – pořízení, obnova, inovace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Indikátor:</w:t>
            </w:r>
          </w:p>
        </w:tc>
        <w:tc>
          <w:tcPr>
            <w:tcW w:w="6804" w:type="dxa"/>
          </w:tcPr>
          <w:p w:rsidR="00351B15" w:rsidRPr="00EC0840" w:rsidRDefault="00351B15" w:rsidP="006F6D8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existence technického </w:t>
            </w:r>
            <w:proofErr w:type="gramStart"/>
            <w:r>
              <w:rPr>
                <w:rFonts w:eastAsia="Calibri"/>
              </w:rPr>
              <w:t>vybavení - počet</w:t>
            </w:r>
            <w:proofErr w:type="gramEnd"/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Dosažení indikátoru:</w:t>
            </w:r>
          </w:p>
        </w:tc>
        <w:tc>
          <w:tcPr>
            <w:tcW w:w="6804" w:type="dxa"/>
          </w:tcPr>
          <w:p w:rsidR="00351B15" w:rsidRDefault="00351B15" w:rsidP="006F6D8F">
            <w:r>
              <w:t>31. 10. 2021</w:t>
            </w:r>
          </w:p>
        </w:tc>
      </w:tr>
      <w:tr w:rsidR="00351B15" w:rsidTr="006F6D8F">
        <w:tc>
          <w:tcPr>
            <w:tcW w:w="2660" w:type="dxa"/>
            <w:shd w:val="clear" w:color="auto" w:fill="6ABAC5"/>
          </w:tcPr>
          <w:p w:rsidR="00351B15" w:rsidRDefault="00351B15" w:rsidP="006F6D8F">
            <w:r>
              <w:t>Zdroje:</w:t>
            </w:r>
          </w:p>
        </w:tc>
        <w:tc>
          <w:tcPr>
            <w:tcW w:w="6804" w:type="dxa"/>
          </w:tcPr>
          <w:p w:rsidR="00351B15" w:rsidRDefault="00351B15" w:rsidP="006F6D8F">
            <w:r>
              <w:t>vlastní zdroje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kladné stanovisko dotčených orgánů</w:t>
            </w:r>
          </w:p>
        </w:tc>
      </w:tr>
    </w:tbl>
    <w:p w:rsidR="00351B15" w:rsidRDefault="00351B15" w:rsidP="00351B15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 xml:space="preserve">8. Vybudování prostor pro obecní techniku 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 w:rsidRPr="004C015D">
              <w:t xml:space="preserve">Revitalizace prostoru bývalé školy </w:t>
            </w:r>
            <w:r>
              <w:t>a vybudování nového víceúčelového objektu (HZ, posilovna, 3 byty)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 xml:space="preserve">Nevyhovující prostory pro a parkování obecní techniky a nářadí. Budova bývalé školy v prostoru centrální návsi určena k demolici. </w:t>
            </w:r>
          </w:p>
          <w:p w:rsidR="00351B15" w:rsidRDefault="00351B15" w:rsidP="006F6D8F">
            <w:r>
              <w:t>Umístění kontejnerů na tříděný odpad u silnice je nevyhovující, často je přeplňují projíždějící. Chybí kryté a zároveň dobře přístupné stanoviště pro místní.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Pr="00A16813" w:rsidRDefault="00351B15" w:rsidP="006F6D8F">
            <w:r>
              <w:t>SC 2 Kvalita života a prostředí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Pr="00A16813" w:rsidRDefault="00351B15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Pr="00A16813" w:rsidRDefault="00351B15" w:rsidP="006F6D8F">
            <w:r>
              <w:t>4.1.Revitalizace a rozvoj obecního majetku pro podporu komunitního života a služeb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5. Veřejný prostor a infrastruktura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5.6 Rozvoj tech. infrastruktury a vybavení – pořízení, obnova, inovace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 w:rsidRPr="007A3F0F">
              <w:t>revitalizace objektů, ploch – počet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31. 10. 2021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vlastní zdroje a dotace SR (MMR)</w:t>
            </w:r>
          </w:p>
        </w:tc>
      </w:tr>
    </w:tbl>
    <w:p w:rsidR="00351B15" w:rsidRDefault="00351B15" w:rsidP="00351B15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9. Revitalizace prostoru „u křížku“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 w:rsidRPr="004C015D">
              <w:t xml:space="preserve">Vyřešení </w:t>
            </w:r>
            <w:r>
              <w:t xml:space="preserve">veřejného </w:t>
            </w:r>
            <w:r w:rsidRPr="004C015D">
              <w:t>prostoru u křížku/autobusové zastávky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Výrazné místo při vjezdu do obce, křižovatka, kulturní dominanta - kříž. Vykácením nemocných stromů se prostor otevřel, není však nijak řešen – veřejná zeleň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Pr="00A16813" w:rsidRDefault="00351B15" w:rsidP="006F6D8F">
            <w:r>
              <w:t>SC 2 Kvalita života a prostředí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5. Veřejný prostor a infrastruktura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 xml:space="preserve">5.1 </w:t>
            </w:r>
            <w:r w:rsidRPr="00FB4E45">
              <w:t>Revitalizace a funkční přeměna veřejného prostoru pro zvýšení potenciálu kvality života v sídle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 w:rsidRPr="007A3F0F">
              <w:t>revitalizace objektů, ploch – počet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31. 10. 2021</w:t>
            </w:r>
          </w:p>
        </w:tc>
      </w:tr>
      <w:tr w:rsidR="00351B15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51B15" w:rsidRDefault="00351B15" w:rsidP="006F6D8F">
            <w:r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B15" w:rsidRDefault="00351B15" w:rsidP="006F6D8F">
            <w:r>
              <w:t>vlastní zdroje a dotace SR (MMR)</w:t>
            </w:r>
          </w:p>
        </w:tc>
      </w:tr>
    </w:tbl>
    <w:p w:rsidR="00351B15" w:rsidRDefault="00351B15" w:rsidP="00351B15"/>
    <w:p w:rsidR="00351B15" w:rsidRDefault="00351B15" w:rsidP="00351B15"/>
    <w:tbl>
      <w:tblPr>
        <w:tblW w:w="748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0"/>
      </w:tblGrid>
      <w:tr w:rsidR="00351B15" w:rsidRPr="004C015D" w:rsidTr="006F6D8F">
        <w:trPr>
          <w:trHeight w:val="630"/>
        </w:trPr>
        <w:tc>
          <w:tcPr>
            <w:tcW w:w="7480" w:type="dxa"/>
            <w:shd w:val="clear" w:color="auto" w:fill="auto"/>
            <w:vAlign w:val="center"/>
            <w:hideMark/>
          </w:tcPr>
          <w:p w:rsidR="00351B15" w:rsidRPr="004C015D" w:rsidRDefault="00351B15" w:rsidP="006F6D8F">
            <w:r w:rsidRPr="004C015D">
              <w:t>Dokončení pozemkových úprav</w:t>
            </w:r>
          </w:p>
        </w:tc>
      </w:tr>
      <w:tr w:rsidR="00351B15" w:rsidRPr="004C015D" w:rsidTr="006F6D8F">
        <w:trPr>
          <w:trHeight w:val="630"/>
        </w:trPr>
        <w:tc>
          <w:tcPr>
            <w:tcW w:w="7480" w:type="dxa"/>
            <w:shd w:val="clear" w:color="auto" w:fill="auto"/>
            <w:vAlign w:val="center"/>
            <w:hideMark/>
          </w:tcPr>
          <w:p w:rsidR="00351B15" w:rsidRPr="004C015D" w:rsidRDefault="00351B15" w:rsidP="006F6D8F">
            <w:r w:rsidRPr="004C015D">
              <w:t>Kapacita pro parkování</w:t>
            </w:r>
          </w:p>
        </w:tc>
      </w:tr>
      <w:tr w:rsidR="00351B15" w:rsidRPr="004C015D" w:rsidTr="006F6D8F">
        <w:trPr>
          <w:trHeight w:val="630"/>
        </w:trPr>
        <w:tc>
          <w:tcPr>
            <w:tcW w:w="7480" w:type="dxa"/>
            <w:shd w:val="clear" w:color="auto" w:fill="auto"/>
            <w:vAlign w:val="center"/>
            <w:hideMark/>
          </w:tcPr>
          <w:p w:rsidR="00351B15" w:rsidRPr="004C015D" w:rsidRDefault="00351B15" w:rsidP="006F6D8F">
            <w:r w:rsidRPr="004C015D">
              <w:t>Bagrování rybníků</w:t>
            </w:r>
          </w:p>
        </w:tc>
      </w:tr>
      <w:tr w:rsidR="00351B15" w:rsidRPr="004C015D" w:rsidTr="006F6D8F">
        <w:trPr>
          <w:trHeight w:val="630"/>
        </w:trPr>
        <w:tc>
          <w:tcPr>
            <w:tcW w:w="7480" w:type="dxa"/>
            <w:shd w:val="clear" w:color="auto" w:fill="auto"/>
            <w:vAlign w:val="center"/>
          </w:tcPr>
          <w:p w:rsidR="00351B15" w:rsidRPr="004C015D" w:rsidRDefault="00351B15" w:rsidP="006F6D8F">
            <w:r>
              <w:t>Výměna zdroje vytápění, zateplení a nástavba KD Veselá</w:t>
            </w:r>
          </w:p>
        </w:tc>
      </w:tr>
    </w:tbl>
    <w:p w:rsidR="00E06CB3" w:rsidRPr="004E5F84" w:rsidRDefault="00E06CB3" w:rsidP="00351B15"/>
    <w:sectPr w:rsidR="00E06CB3" w:rsidRPr="004E5F84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146D" w:rsidRDefault="00F4146D" w:rsidP="00311A08">
      <w:r>
        <w:separator/>
      </w:r>
    </w:p>
  </w:endnote>
  <w:endnote w:type="continuationSeparator" w:id="0">
    <w:p w:rsidR="00F4146D" w:rsidRDefault="00F4146D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146D" w:rsidRDefault="00F4146D" w:rsidP="00311A08">
      <w:r>
        <w:separator/>
      </w:r>
    </w:p>
  </w:footnote>
  <w:footnote w:type="continuationSeparator" w:id="0">
    <w:p w:rsidR="00F4146D" w:rsidRDefault="00F4146D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005E0F"/>
    <w:rsid w:val="000408E8"/>
    <w:rsid w:val="00052726"/>
    <w:rsid w:val="000A74D7"/>
    <w:rsid w:val="001B2CFC"/>
    <w:rsid w:val="00311A08"/>
    <w:rsid w:val="00345F54"/>
    <w:rsid w:val="00351B15"/>
    <w:rsid w:val="004E5F84"/>
    <w:rsid w:val="0075683E"/>
    <w:rsid w:val="00786CD6"/>
    <w:rsid w:val="00912F01"/>
    <w:rsid w:val="00BC0429"/>
    <w:rsid w:val="00C76310"/>
    <w:rsid w:val="00D63905"/>
    <w:rsid w:val="00E06CB3"/>
    <w:rsid w:val="00E36D11"/>
    <w:rsid w:val="00F4146D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903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2020-06-01T18:54:00Z</dcterms:created>
  <dcterms:modified xsi:type="dcterms:W3CDTF">2020-06-01T18:54:00Z</dcterms:modified>
</cp:coreProperties>
</file>