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266C" w:rsidRDefault="00FA266C" w:rsidP="00FA266C">
      <w:pPr>
        <w:pStyle w:val="Nadpis1"/>
        <w:spacing w:line="240" w:lineRule="auto"/>
        <w:jc w:val="left"/>
        <w:rPr>
          <w:rFonts w:cs="Calibri"/>
        </w:rPr>
      </w:pPr>
      <w:r w:rsidRPr="00C00AAB">
        <w:rPr>
          <w:rFonts w:cs="Calibri"/>
        </w:rPr>
        <w:t>Akční plán</w:t>
      </w:r>
      <w:r>
        <w:rPr>
          <w:rFonts w:cs="Calibri"/>
        </w:rPr>
        <w:t xml:space="preserve"> obce Horní Ves</w:t>
      </w:r>
      <w:r w:rsidRPr="00C00AAB">
        <w:rPr>
          <w:rFonts w:cs="Calibri"/>
        </w:rPr>
        <w:t xml:space="preserve"> – rok 2020</w:t>
      </w:r>
      <w:r>
        <w:rPr>
          <w:rFonts w:cs="Calibri"/>
        </w:rPr>
        <w:t>-2021</w:t>
      </w:r>
    </w:p>
    <w:p w:rsidR="00FA266C" w:rsidRDefault="00FA266C" w:rsidP="00FA266C"/>
    <w:p w:rsidR="00FA266C" w:rsidRDefault="00FA266C" w:rsidP="00FA266C">
      <w:r>
        <w:t>AP 2020-01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2.</w:t>
            </w:r>
            <w:r>
              <w:rPr>
                <w:b/>
              </w:rPr>
              <w:t>3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 xml:space="preserve">Vybudování ČOV 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Výstavba ČOV – projektová příprava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FA266C" w:rsidRDefault="00FA266C" w:rsidP="006F6D8F">
            <w:r>
              <w:t>Kanalizace je v současnosti vyústěna přímo do řeky Jihlavy.</w:t>
            </w:r>
          </w:p>
          <w:p w:rsidR="00FA266C" w:rsidRPr="00C00AAB" w:rsidRDefault="00FA266C" w:rsidP="006F6D8F">
            <w:r>
              <w:t>Aktivita je v souladu s PRVK Kraje Vysočina.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2 Kvalita života a prostředí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 w:rsidRPr="00C00AAB">
              <w:rPr>
                <w:bCs/>
              </w:rPr>
              <w:t>2. Voda v obci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 w:rsidRPr="00C00AAB">
              <w:rPr>
                <w:bCs/>
              </w:rPr>
              <w:t>2.</w:t>
            </w:r>
            <w:r>
              <w:rPr>
                <w:bCs/>
              </w:rPr>
              <w:t>3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Kanalizace a čištění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 xml:space="preserve">existence technické </w:t>
            </w:r>
            <w:r w:rsidRPr="00C00AAB">
              <w:t>infrastruktury</w:t>
            </w:r>
            <w:r>
              <w:t xml:space="preserve"> - % na obyvatele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podíl dotace z kraje + vlastní zdroje</w:t>
            </w:r>
          </w:p>
        </w:tc>
      </w:tr>
    </w:tbl>
    <w:p w:rsidR="00FA266C" w:rsidRDefault="00FA266C" w:rsidP="00FA266C"/>
    <w:p w:rsidR="00FA266C" w:rsidRDefault="00FA266C" w:rsidP="00FA266C">
      <w:r>
        <w:t>AP 2020-02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3.</w:t>
            </w:r>
            <w:r>
              <w:rPr>
                <w:b/>
              </w:rPr>
              <w:t>2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Pravidla pro podporu podnikání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Vytvoření pravidel / dokumentu pro podporu lokální ekonomiky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Obec můžeme mít významný podíl na podpoře lokální ekonomiky, a to vytvářením podmínek pro rozvoj podnikání, sdílení obecního majetku, či budování infrastruktury tak, aby podpořila lokální ekonomiku. Nicméně není to primární úkolem obce a měla by být stanovena jasná a transparentní pravidla, aby byl dodržen rovný přístup a byla zajištěna efektivita.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3 Občanská společnost a veřejná správa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 w:rsidRPr="00C00AAB">
              <w:rPr>
                <w:bCs/>
              </w:rPr>
              <w:t xml:space="preserve">3. </w:t>
            </w:r>
            <w:r>
              <w:rPr>
                <w:bCs/>
              </w:rPr>
              <w:t>Společné plánování a informování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3.</w:t>
            </w:r>
            <w:r w:rsidRPr="00C00AAB">
              <w:rPr>
                <w:bCs/>
              </w:rPr>
              <w:t xml:space="preserve">2 </w:t>
            </w:r>
            <w:r>
              <w:rPr>
                <w:bCs/>
              </w:rPr>
              <w:t>Participace na plánování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 xml:space="preserve">spolupráce mezi sektory / subjekty – počet 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31. 0</w:t>
            </w:r>
            <w:r>
              <w:t>3</w:t>
            </w:r>
            <w:r w:rsidRPr="00C00AAB">
              <w:t>. 202</w:t>
            </w:r>
            <w:r>
              <w:t>1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vlastní zdroje</w:t>
            </w:r>
          </w:p>
        </w:tc>
      </w:tr>
    </w:tbl>
    <w:p w:rsidR="00FA266C" w:rsidRDefault="00FA266C" w:rsidP="00FA266C"/>
    <w:p w:rsidR="00FA266C" w:rsidRDefault="00FA266C" w:rsidP="00FA266C">
      <w:r>
        <w:t>AP 2020-03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lastRenderedPageBreak/>
              <w:t>Číslo a název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.1</w:t>
            </w:r>
            <w:r>
              <w:rPr>
                <w:b/>
              </w:rPr>
              <w:t>.1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Parcely pro výstavbu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Změna územního plánu a následné zasíťování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Obec nedisponuje parcelami určenými k zastavění, tím je však zastaven rozvoj obce, proto je důležité změnit ÚP + parcely zasíťovat.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prostředí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4</w:t>
            </w:r>
            <w:r w:rsidRPr="00C00AAB">
              <w:rPr>
                <w:bCs/>
              </w:rPr>
              <w:t xml:space="preserve">. </w:t>
            </w:r>
            <w:r>
              <w:rPr>
                <w:bCs/>
              </w:rPr>
              <w:t>Sladění rodinného a pracovního života, rozvoj komunity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4.1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Revitalizace a rozvoj obecního majetku pro podporu komunitního života a služeb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 xml:space="preserve">revitalizace ploch / objektů – počet 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31. 0</w:t>
            </w:r>
            <w:r>
              <w:t>3</w:t>
            </w:r>
            <w:r w:rsidRPr="00C00AAB">
              <w:t>. 202</w:t>
            </w:r>
            <w:r>
              <w:t>1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vlastní zdroje</w:t>
            </w:r>
            <w:r>
              <w:t xml:space="preserve"> + MMR</w:t>
            </w:r>
          </w:p>
        </w:tc>
      </w:tr>
    </w:tbl>
    <w:p w:rsidR="00FA266C" w:rsidRDefault="00FA266C" w:rsidP="00FA266C"/>
    <w:p w:rsidR="00FA266C" w:rsidRDefault="00FA266C" w:rsidP="00FA266C">
      <w:r>
        <w:t>AP 2020-04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.1</w:t>
            </w:r>
            <w:r>
              <w:rPr>
                <w:b/>
              </w:rPr>
              <w:t>.2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Materiální i nemateriální podpora MŠ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Spolufinancování aktivit pro rozvoj MŠ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Aktuálně mohou MŠ čerpat prostředky na rozvoj a zvýšení kvality vzdělávání z OP VVV. MŠ nedisponuje kapacitou pro administraci a případné spolufinancování těchto aktivit nad rámec její běžné činnosti.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2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Kvalita života prostředí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4</w:t>
            </w:r>
            <w:r w:rsidRPr="00C00AAB">
              <w:rPr>
                <w:bCs/>
              </w:rPr>
              <w:t xml:space="preserve">. </w:t>
            </w:r>
            <w:r>
              <w:rPr>
                <w:bCs/>
              </w:rPr>
              <w:t>Sladění rodinného a pracovního života, rozvoj komunity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4.1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Revitalizace a rozvoj obecního majetku pro podporu komunitního života a služeb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vzdělávací instituce na obyvatele – % na obyvatele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31. 0</w:t>
            </w:r>
            <w:r>
              <w:t>3</w:t>
            </w:r>
            <w:r w:rsidRPr="00C00AAB">
              <w:t>. 202</w:t>
            </w:r>
            <w:r>
              <w:t>1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vlastní zdroje</w:t>
            </w:r>
            <w:r>
              <w:t xml:space="preserve"> + OP VVV</w:t>
            </w:r>
          </w:p>
        </w:tc>
      </w:tr>
    </w:tbl>
    <w:p w:rsidR="00FA266C" w:rsidRDefault="00FA266C" w:rsidP="00FA266C"/>
    <w:p w:rsidR="00FA266C" w:rsidRDefault="00FA266C" w:rsidP="00FA266C">
      <w:r>
        <w:t>AP 2020-05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2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Koncepční podpora spolků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lastRenderedPageBreak/>
              <w:t>Charakteristika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 xml:space="preserve">Materiální i nemateriální podpora spolků obce 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Spolky se podílí na většině akcí v obci. Jedná se o základního hybatele komunitního života, a to nejen při společenských akcích, ale také při brigádách. Udržet pozitivní přístup spolků k dobrovolné práci je pro udržitelný komunitní život v obci zásadní.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3 Občanská společnost a veřejná správa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Pr="002D51B1">
              <w:rPr>
                <w:bCs/>
              </w:rPr>
              <w:t>Sladění rodinného a pracovního života, rozvoj komunity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4.</w:t>
            </w:r>
            <w:r w:rsidRPr="00C00AAB">
              <w:rPr>
                <w:bCs/>
              </w:rPr>
              <w:t>2</w:t>
            </w:r>
            <w:r>
              <w:rPr>
                <w:bCs/>
              </w:rPr>
              <w:t xml:space="preserve"> Podpora komunitních aktivit, soc. a zdravotních služeb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 xml:space="preserve">Spolupráce mezi sektory / subjekty – počet 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31. 0</w:t>
            </w:r>
            <w:r>
              <w:t>3</w:t>
            </w:r>
            <w:r w:rsidRPr="00C00AAB">
              <w:t>. 2021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podíl dotace z kraje + vlastní zdroje</w:t>
            </w:r>
            <w:r>
              <w:t xml:space="preserve"> + Místní Agenda 21</w:t>
            </w:r>
          </w:p>
        </w:tc>
      </w:tr>
    </w:tbl>
    <w:p w:rsidR="00FA266C" w:rsidRDefault="00FA266C" w:rsidP="00FA266C"/>
    <w:p w:rsidR="00FA266C" w:rsidRPr="007800AF" w:rsidRDefault="00FA266C" w:rsidP="00FA266C"/>
    <w:p w:rsidR="00FA266C" w:rsidRPr="00C00AAB" w:rsidRDefault="00FA266C" w:rsidP="00FA266C">
      <w:r>
        <w:t>AP 2020-06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</w:rPr>
            </w:pPr>
            <w:r>
              <w:rPr>
                <w:b/>
              </w:rPr>
              <w:t>5.1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Koncepce péče o krajinu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Vznik krajinných prvků jako ochranné zeleně, odpočinkových míst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Obecný problém Vysočiny s nedostatkem vody a jejím zadržováním v krajině, následné sucho, požáry apod.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2 Kvalita života a prostředí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5</w:t>
            </w:r>
            <w:r w:rsidRPr="00C00AAB">
              <w:rPr>
                <w:bCs/>
              </w:rPr>
              <w:t xml:space="preserve">. </w:t>
            </w:r>
            <w:r>
              <w:rPr>
                <w:bCs/>
              </w:rPr>
              <w:t>Veřejný prostor a infrastruktura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5</w:t>
            </w:r>
            <w:r w:rsidRPr="00C00AAB">
              <w:rPr>
                <w:bCs/>
              </w:rPr>
              <w:t>.</w:t>
            </w:r>
            <w:r>
              <w:rPr>
                <w:bCs/>
              </w:rPr>
              <w:t>1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Revitalizace a funkční přeměna veřejného prostoru pro zvýšení potenciálu kvality života v sídle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aktivity v ochraně životního prostředí – počet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podíl dotace z kraje + vlastní zdroje</w:t>
            </w:r>
            <w:r>
              <w:t xml:space="preserve"> + OP ŽP</w:t>
            </w:r>
          </w:p>
        </w:tc>
      </w:tr>
    </w:tbl>
    <w:p w:rsidR="00FA266C" w:rsidRDefault="00FA266C" w:rsidP="00FA266C"/>
    <w:p w:rsidR="00FA266C" w:rsidRDefault="00FA266C" w:rsidP="00FA266C">
      <w:r>
        <w:t>AP 2020-07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</w:rPr>
            </w:pPr>
            <w:r>
              <w:rPr>
                <w:b/>
              </w:rPr>
              <w:t>6.2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1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Zázemí pro hasiče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Vybudování garáže + zázemí pro hasiče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lastRenderedPageBreak/>
              <w:t>Zdůvodnění potřeby dané aktivity: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Při prevenci rizik a ochrany obyvatel hrají hasiči významnou roli. Také s ohledem k suchu, které Vysočinu zasahuje významně význam hasičských jednotek roste.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 xml:space="preserve">SC </w:t>
            </w:r>
            <w:r>
              <w:rPr>
                <w:b/>
                <w:bCs/>
              </w:rPr>
              <w:t>3</w:t>
            </w:r>
            <w:r w:rsidRPr="00C00AA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Občanská společnost a veřejná správa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6</w:t>
            </w:r>
            <w:r w:rsidRPr="00C00AAB">
              <w:rPr>
                <w:bCs/>
              </w:rPr>
              <w:t xml:space="preserve">. </w:t>
            </w:r>
            <w:r>
              <w:rPr>
                <w:bCs/>
              </w:rPr>
              <w:t>Prevence rizik a ochrana obyvatelstva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FA266C" w:rsidRPr="00C00AAB" w:rsidRDefault="00FA266C" w:rsidP="006F6D8F">
            <w:pPr>
              <w:rPr>
                <w:bCs/>
              </w:rPr>
            </w:pPr>
            <w:r>
              <w:rPr>
                <w:bCs/>
              </w:rPr>
              <w:t>6</w:t>
            </w:r>
            <w:r w:rsidRPr="00C00AAB">
              <w:rPr>
                <w:bCs/>
              </w:rPr>
              <w:t>.</w:t>
            </w:r>
            <w:r>
              <w:rPr>
                <w:bCs/>
              </w:rPr>
              <w:t>2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Kvalita a odolnost staveb, objektů, zařízení ve vazbě na hrozby se změnou klimatu a další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FA266C" w:rsidRPr="00C00AAB" w:rsidRDefault="00FA266C" w:rsidP="006F6D8F">
            <w:r>
              <w:t>aktivity ve veřejném / občanském zájmu – počet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0</w:t>
            </w:r>
          </w:p>
        </w:tc>
      </w:tr>
      <w:tr w:rsidR="00FA266C" w:rsidRPr="00C00AAB" w:rsidTr="006F6D8F">
        <w:tc>
          <w:tcPr>
            <w:tcW w:w="2660" w:type="dxa"/>
            <w:shd w:val="clear" w:color="auto" w:fill="6ABAC5"/>
          </w:tcPr>
          <w:p w:rsidR="00FA266C" w:rsidRPr="00C00AAB" w:rsidRDefault="00FA266C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FA266C" w:rsidRPr="00C00AAB" w:rsidRDefault="00FA266C" w:rsidP="006F6D8F">
            <w:r w:rsidRPr="00C00AAB">
              <w:t>vlastní zdroje</w:t>
            </w:r>
            <w:r>
              <w:t xml:space="preserve"> + MV + IROP</w:t>
            </w:r>
          </w:p>
        </w:tc>
      </w:tr>
    </w:tbl>
    <w:p w:rsidR="00FA266C" w:rsidRDefault="00FA266C" w:rsidP="00FA266C"/>
    <w:p w:rsidR="00FA266C" w:rsidRDefault="00FA266C" w:rsidP="00FA266C">
      <w:pPr>
        <w:ind w:firstLine="480"/>
      </w:pPr>
    </w:p>
    <w:p w:rsidR="00FA266C" w:rsidRPr="008607A2" w:rsidRDefault="00FA266C" w:rsidP="00FA266C">
      <w:pPr>
        <w:ind w:firstLine="480"/>
      </w:pPr>
    </w:p>
    <w:p w:rsidR="00FA266C" w:rsidRPr="006A0039" w:rsidRDefault="00FA266C" w:rsidP="00FA266C">
      <w:pPr>
        <w:ind w:firstLine="480"/>
      </w:pPr>
    </w:p>
    <w:p w:rsidR="00FA266C" w:rsidRPr="006A0039" w:rsidRDefault="00FA266C" w:rsidP="00FA266C">
      <w:pPr>
        <w:ind w:firstLine="480"/>
      </w:pPr>
    </w:p>
    <w:p w:rsidR="00FA266C" w:rsidRPr="006A0039" w:rsidRDefault="00FA266C" w:rsidP="00FA266C">
      <w:pPr>
        <w:ind w:firstLine="480"/>
      </w:pPr>
    </w:p>
    <w:p w:rsidR="00FA266C" w:rsidRPr="006A0039" w:rsidRDefault="00FA266C" w:rsidP="00FA266C">
      <w:pPr>
        <w:ind w:firstLine="480"/>
      </w:pPr>
    </w:p>
    <w:p w:rsidR="00FA266C" w:rsidRPr="006A0039" w:rsidRDefault="00FA266C" w:rsidP="00FA266C">
      <w:pPr>
        <w:ind w:firstLine="480"/>
      </w:pPr>
    </w:p>
    <w:p w:rsidR="00E06CB3" w:rsidRPr="00FA266C" w:rsidRDefault="00E06CB3" w:rsidP="00FA266C"/>
    <w:sectPr w:rsidR="00E06CB3" w:rsidRPr="00FA266C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3527" w:rsidRDefault="00653527" w:rsidP="001B2CFC">
      <w:pPr>
        <w:spacing w:after="0" w:line="240" w:lineRule="auto"/>
      </w:pPr>
      <w:r>
        <w:separator/>
      </w:r>
    </w:p>
  </w:endnote>
  <w:endnote w:type="continuationSeparator" w:id="0">
    <w:p w:rsidR="00653527" w:rsidRDefault="00653527" w:rsidP="001B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1B2CFC">
    <w:pPr>
      <w:jc w:val="left"/>
    </w:pPr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3527" w:rsidRDefault="00653527" w:rsidP="001B2CFC">
      <w:pPr>
        <w:spacing w:after="0" w:line="240" w:lineRule="auto"/>
      </w:pPr>
      <w:r>
        <w:separator/>
      </w:r>
    </w:p>
  </w:footnote>
  <w:footnote w:type="continuationSeparator" w:id="0">
    <w:p w:rsidR="00653527" w:rsidRDefault="00653527" w:rsidP="001B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>
    <w:pPr>
      <w:pStyle w:val="Zhlav"/>
    </w:pPr>
  </w:p>
  <w:p w:rsidR="001B2CFC" w:rsidRDefault="001B2CF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3DF5"/>
    <w:multiLevelType w:val="multilevel"/>
    <w:tmpl w:val="B2AE45CE"/>
    <w:lvl w:ilvl="0">
      <w:start w:val="1"/>
      <w:numFmt w:val="decimal"/>
      <w:pStyle w:val="Nadpis1"/>
      <w:lvlText w:val="%1."/>
      <w:lvlJc w:val="left"/>
      <w:pPr>
        <w:tabs>
          <w:tab w:val="num" w:pos="1390"/>
        </w:tabs>
        <w:ind w:left="1560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1B2CFC"/>
    <w:rsid w:val="00653527"/>
    <w:rsid w:val="00786CD6"/>
    <w:rsid w:val="00C76310"/>
    <w:rsid w:val="00D63905"/>
    <w:rsid w:val="00E06CB3"/>
    <w:rsid w:val="00FA266C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1B2CFC"/>
    <w:pPr>
      <w:autoSpaceDE w:val="0"/>
      <w:autoSpaceDN w:val="0"/>
      <w:adjustRightInd w:val="0"/>
      <w:spacing w:after="120" w:line="276" w:lineRule="auto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63905"/>
    <w:pPr>
      <w:keepNext/>
      <w:tabs>
        <w:tab w:val="num" w:pos="284"/>
      </w:tabs>
      <w:ind w:left="567" w:hanging="283"/>
      <w:outlineLvl w:val="1"/>
    </w:pPr>
    <w:rPr>
      <w:rFonts w:eastAsia="Times New Roman" w:cs="Times New Roman"/>
      <w:b/>
      <w:szCs w:val="20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63905"/>
    <w:rPr>
      <w:rFonts w:ascii="Calibri" w:eastAsia="Times New Roman" w:hAnsi="Calibri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701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2020-06-01T18:07:00Z</dcterms:created>
  <dcterms:modified xsi:type="dcterms:W3CDTF">2020-06-01T18:07:00Z</dcterms:modified>
</cp:coreProperties>
</file>