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2CFC" w:rsidRDefault="001B2CFC" w:rsidP="001B2CFC">
      <w:pPr>
        <w:pStyle w:val="Nadpis1"/>
      </w:pPr>
      <w:bookmarkStart w:id="0" w:name="_Toc41892268"/>
      <w:r>
        <w:t xml:space="preserve">Akční plán </w:t>
      </w:r>
      <w:r>
        <w:t xml:space="preserve">obce Bohdalín </w:t>
      </w:r>
      <w:r>
        <w:t>– rok 2020</w:t>
      </w:r>
      <w:bookmarkEnd w:id="0"/>
    </w:p>
    <w:p w:rsidR="001B2CFC" w:rsidRPr="006D52E7" w:rsidRDefault="001B2CFC" w:rsidP="001B2CFC">
      <w:r>
        <w:t>AP 2020-01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Číslo a název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2.1.1 Obnova vodovodu – 1.etapa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Charakteristika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Rekonstrukce 2 větví vodovodu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1B2CFC" w:rsidRDefault="001B2CFC" w:rsidP="006F6D8F">
            <w:pPr>
              <w:rPr>
                <w:highlight w:val="white"/>
              </w:rPr>
            </w:pPr>
            <w:r>
              <w:rPr>
                <w:highlight w:val="white"/>
              </w:rPr>
              <w:t>Vybrané větve jsou vysoce poruchové vyvolávající časté odstávky vody. Větší část je zdravotně závadného azbestocementu, dožilý materiál (výstavba v 80. letech).</w:t>
            </w:r>
          </w:p>
          <w:p w:rsidR="001B2CFC" w:rsidRDefault="001B2CFC" w:rsidP="006F6D8F">
            <w:r>
              <w:rPr>
                <w:highlight w:val="white"/>
              </w:rPr>
              <w:t xml:space="preserve">Obnova je v souladu s PRVK Kraje Vysočina. </w:t>
            </w:r>
          </w:p>
          <w:p w:rsidR="001B2CFC" w:rsidRDefault="001B2CFC" w:rsidP="006F6D8F">
            <w:r>
              <w:t xml:space="preserve">Etapizace je vynucena disponibilními zdroji obce – obec nedisponuje volnými prostředky pro rekonstrukci celého vodovodu z vlastních zdrojů, dokonce ani nedisponuje volnými prostředky pro dílčí etapu z vlastních zdrojů. 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Strategický cíl: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 xml:space="preserve">SC 2 </w:t>
            </w:r>
            <w:r w:rsidRPr="00A16813">
              <w:t>Kvalita života a prostředí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Priorita:</w:t>
            </w:r>
          </w:p>
        </w:tc>
        <w:tc>
          <w:tcPr>
            <w:tcW w:w="6804" w:type="dxa"/>
          </w:tcPr>
          <w:p w:rsidR="001B2CFC" w:rsidRPr="00A16813" w:rsidRDefault="001B2CFC" w:rsidP="006F6D8F">
            <w:r w:rsidRPr="00A16813">
              <w:t>2. Voda v obci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Opatření:</w:t>
            </w:r>
          </w:p>
        </w:tc>
        <w:tc>
          <w:tcPr>
            <w:tcW w:w="6804" w:type="dxa"/>
          </w:tcPr>
          <w:p w:rsidR="001B2CFC" w:rsidRPr="00A16813" w:rsidRDefault="001B2CFC" w:rsidP="006F6D8F">
            <w:r w:rsidRPr="00A16813">
              <w:t>2.1 Obnova vodovodu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Indikátor:</w:t>
            </w:r>
          </w:p>
        </w:tc>
        <w:tc>
          <w:tcPr>
            <w:tcW w:w="6804" w:type="dxa"/>
          </w:tcPr>
          <w:p w:rsidR="001B2CFC" w:rsidRDefault="001B2CFC" w:rsidP="006F6D8F">
            <w:r>
              <w:t>km modernizované infrastruktury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Dosažení indikátoru:</w:t>
            </w:r>
          </w:p>
        </w:tc>
        <w:tc>
          <w:tcPr>
            <w:tcW w:w="6804" w:type="dxa"/>
          </w:tcPr>
          <w:p w:rsidR="001B2CFC" w:rsidRDefault="001B2CFC" w:rsidP="006F6D8F">
            <w:r>
              <w:t>31. 10. 2021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Zdroje:</w:t>
            </w:r>
          </w:p>
        </w:tc>
        <w:tc>
          <w:tcPr>
            <w:tcW w:w="6804" w:type="dxa"/>
          </w:tcPr>
          <w:p w:rsidR="001B2CFC" w:rsidRDefault="001B2CFC" w:rsidP="006F6D8F">
            <w:r>
              <w:t>podíl dotace z kraje + vlastní zdroje</w:t>
            </w:r>
          </w:p>
        </w:tc>
      </w:tr>
      <w:tr w:rsidR="001B2CFC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1B2CFC" w:rsidRDefault="001B2CFC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CFC" w:rsidRDefault="001B2CFC" w:rsidP="006F6D8F">
            <w:r>
              <w:t xml:space="preserve">získání dotace z kraje </w:t>
            </w:r>
          </w:p>
        </w:tc>
      </w:tr>
    </w:tbl>
    <w:p w:rsidR="001B2CFC" w:rsidRDefault="001B2CFC" w:rsidP="001B2CFC"/>
    <w:p w:rsidR="001B2CFC" w:rsidRPr="006D52E7" w:rsidRDefault="001B2CFC" w:rsidP="001B2CFC">
      <w:r>
        <w:t>AP 2020-02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Číslo a název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3.1.1 Aktualizace územního plánu – dokument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Charakteristika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 xml:space="preserve">Nové zpracování všech částí ÚPD 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rPr>
                <w:highlight w:val="white"/>
              </w:rPr>
              <w:t>Zadání a zpracování aktualizace ÚP</w:t>
            </w:r>
            <w:r>
              <w:t xml:space="preserve"> v souladu s potřebami obce vytvořit nové parcely pro bydlení. 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Strategický cíl: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SC 3 Občanská společnost a veřejná správa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Priorita: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3</w:t>
            </w:r>
            <w:r w:rsidRPr="00A16813">
              <w:t xml:space="preserve">. </w:t>
            </w:r>
            <w:r>
              <w:t>Společné plánování a informování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Opatření: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3</w:t>
            </w:r>
            <w:r w:rsidRPr="00A16813">
              <w:t xml:space="preserve">.1 </w:t>
            </w:r>
            <w:r>
              <w:t>Aktualizace územního plánu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Indikátor:</w:t>
            </w:r>
          </w:p>
        </w:tc>
        <w:tc>
          <w:tcPr>
            <w:tcW w:w="6804" w:type="dxa"/>
          </w:tcPr>
          <w:p w:rsidR="001B2CFC" w:rsidRDefault="001B2CFC" w:rsidP="006F6D8F">
            <w:r>
              <w:t>počet aktivit ve veřejném zájmu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Dosažení indikátoru:</w:t>
            </w:r>
          </w:p>
        </w:tc>
        <w:tc>
          <w:tcPr>
            <w:tcW w:w="6804" w:type="dxa"/>
          </w:tcPr>
          <w:p w:rsidR="001B2CFC" w:rsidRDefault="001B2CFC" w:rsidP="006F6D8F">
            <w:r>
              <w:t>31. 10. 2021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lastRenderedPageBreak/>
              <w:t>Zdroje:</w:t>
            </w:r>
          </w:p>
        </w:tc>
        <w:tc>
          <w:tcPr>
            <w:tcW w:w="6804" w:type="dxa"/>
          </w:tcPr>
          <w:p w:rsidR="001B2CFC" w:rsidRDefault="001B2CFC" w:rsidP="006F6D8F">
            <w:r>
              <w:t>vlastní zdroje</w:t>
            </w:r>
          </w:p>
        </w:tc>
      </w:tr>
      <w:tr w:rsidR="001B2CFC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1B2CFC" w:rsidRDefault="001B2CFC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CFC" w:rsidRDefault="001B2CFC" w:rsidP="006F6D8F">
            <w:r>
              <w:t>kvalitní komunikace – projednání v obci</w:t>
            </w:r>
          </w:p>
        </w:tc>
      </w:tr>
    </w:tbl>
    <w:p w:rsidR="001B2CFC" w:rsidRDefault="001B2CFC" w:rsidP="001B2CFC"/>
    <w:p w:rsidR="001B2CFC" w:rsidRDefault="001B2CFC" w:rsidP="001B2CFC">
      <w:r>
        <w:t>AP 2020-03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Číslo a název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1.4.1 Zpevnění místní komunikace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Charakteristika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Stavební práce vedoucí ke zpevnění části místní komunikace „od Bromů“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Dílčí úsek nezpevněné místní komunikace v úseku „od Bromů“ zamezuje průběžné obslužnosti území – v zimě zde není možný svoz odpadu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Strategický cíl: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SC 2 Kvalita života a prostředí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Priorita: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Opatření:</w:t>
            </w:r>
          </w:p>
        </w:tc>
        <w:tc>
          <w:tcPr>
            <w:tcW w:w="6804" w:type="dxa"/>
          </w:tcPr>
          <w:p w:rsidR="001B2CFC" w:rsidRPr="00A16813" w:rsidRDefault="001B2CFC" w:rsidP="006F6D8F">
            <w:r w:rsidRPr="00A16813">
              <w:t>1</w:t>
            </w:r>
            <w:r>
              <w:t>.4</w:t>
            </w:r>
            <w:r w:rsidRPr="00A16813">
              <w:t xml:space="preserve"> </w:t>
            </w:r>
            <w:r>
              <w:t>Průchodnost obcí a krajinou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Indikátor:</w:t>
            </w:r>
          </w:p>
        </w:tc>
        <w:tc>
          <w:tcPr>
            <w:tcW w:w="6804" w:type="dxa"/>
          </w:tcPr>
          <w:p w:rsidR="001B2CFC" w:rsidRDefault="001B2CFC" w:rsidP="006F6D8F">
            <w:r>
              <w:t>km zprůchodněné infrastruktury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Dosažení indikátoru:</w:t>
            </w:r>
          </w:p>
        </w:tc>
        <w:tc>
          <w:tcPr>
            <w:tcW w:w="6804" w:type="dxa"/>
          </w:tcPr>
          <w:p w:rsidR="001B2CFC" w:rsidRDefault="001B2CFC" w:rsidP="006F6D8F">
            <w:r>
              <w:t>31. 10. 2021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Zdroje:</w:t>
            </w:r>
          </w:p>
        </w:tc>
        <w:tc>
          <w:tcPr>
            <w:tcW w:w="6804" w:type="dxa"/>
          </w:tcPr>
          <w:p w:rsidR="001B2CFC" w:rsidRDefault="001B2CFC" w:rsidP="006F6D8F">
            <w:r>
              <w:t>vlastní zdroje</w:t>
            </w:r>
          </w:p>
        </w:tc>
      </w:tr>
      <w:tr w:rsidR="001B2CFC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1B2CFC" w:rsidRDefault="001B2CFC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CFC" w:rsidRDefault="001B2CFC" w:rsidP="006F6D8F"/>
        </w:tc>
      </w:tr>
    </w:tbl>
    <w:p w:rsidR="001B2CFC" w:rsidRDefault="001B2CFC" w:rsidP="001B2CFC"/>
    <w:p w:rsidR="001B2CFC" w:rsidRDefault="001B2CFC" w:rsidP="001B2CFC">
      <w:r>
        <w:t>AP 2020-04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Číslo a název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1.3.1 Opatření ke snížení rychlosti projíždějících vozidel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Charakteristika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 xml:space="preserve">Osazení komunikace od </w:t>
            </w:r>
            <w:proofErr w:type="spellStart"/>
            <w:r>
              <w:t>Mirotína</w:t>
            </w:r>
            <w:proofErr w:type="spellEnd"/>
            <w:r>
              <w:t xml:space="preserve"> radarem či jiným dostupným opatřením vedoucím ke snížení rychlosti projíždějících aut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Obcí prochází silnice č.135 vedoucí na D3 – vysoká průjezdnost. Projíždějící auta nedodržují rychlost v obci, nebezpečný úsek.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Strategický cíl: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SC 2 Kvalita života a prostředí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Priorita: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1</w:t>
            </w:r>
            <w:r w:rsidRPr="00A16813">
              <w:t xml:space="preserve">. </w:t>
            </w:r>
            <w:r>
              <w:t>Dostupnost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Opatření:</w:t>
            </w:r>
          </w:p>
        </w:tc>
        <w:tc>
          <w:tcPr>
            <w:tcW w:w="6804" w:type="dxa"/>
          </w:tcPr>
          <w:p w:rsidR="001B2CFC" w:rsidRPr="00A16813" w:rsidRDefault="001B2CFC" w:rsidP="006F6D8F">
            <w:r w:rsidRPr="00A16813">
              <w:t>1</w:t>
            </w:r>
            <w:r>
              <w:t>.3</w:t>
            </w:r>
            <w:r w:rsidRPr="00A16813">
              <w:t xml:space="preserve"> </w:t>
            </w:r>
            <w:r>
              <w:t>Podmínky pro bezpečnou a alternativní dopravu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Indikátor:</w:t>
            </w:r>
          </w:p>
        </w:tc>
        <w:tc>
          <w:tcPr>
            <w:tcW w:w="6804" w:type="dxa"/>
          </w:tcPr>
          <w:p w:rsidR="001B2CFC" w:rsidRDefault="001B2CFC" w:rsidP="006F6D8F">
            <w:r>
              <w:t xml:space="preserve">opatření vedoucí ke zvýšení bezpečnosti – počet 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Dosažení indikátoru:</w:t>
            </w:r>
          </w:p>
        </w:tc>
        <w:tc>
          <w:tcPr>
            <w:tcW w:w="6804" w:type="dxa"/>
          </w:tcPr>
          <w:p w:rsidR="001B2CFC" w:rsidRDefault="001B2CFC" w:rsidP="006F6D8F">
            <w:r>
              <w:t>31. 10. 2021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Zdroje:</w:t>
            </w:r>
          </w:p>
        </w:tc>
        <w:tc>
          <w:tcPr>
            <w:tcW w:w="6804" w:type="dxa"/>
          </w:tcPr>
          <w:p w:rsidR="001B2CFC" w:rsidRDefault="001B2CFC" w:rsidP="006F6D8F">
            <w:r>
              <w:t>vlastní zdroje</w:t>
            </w:r>
          </w:p>
        </w:tc>
      </w:tr>
      <w:tr w:rsidR="001B2CFC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1B2CFC" w:rsidRDefault="001B2CFC" w:rsidP="006F6D8F">
            <w:r>
              <w:lastRenderedPageBreak/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CFC" w:rsidRDefault="001B2CFC" w:rsidP="006F6D8F">
            <w:r>
              <w:t>kladné stanovisko dotčených orgánů</w:t>
            </w:r>
          </w:p>
        </w:tc>
      </w:tr>
    </w:tbl>
    <w:p w:rsidR="001B2CFC" w:rsidRDefault="001B2CFC" w:rsidP="001B2CFC"/>
    <w:p w:rsidR="001B2CFC" w:rsidRDefault="001B2CFC" w:rsidP="001B2CFC">
      <w:r>
        <w:t>AP 2020-05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804"/>
      </w:tblGrid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Číslo a název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 xml:space="preserve">3.1.2 Koncepce využití bývalého objektu školy – dokument 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Charakteristika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Komunitní projednání záměru revitalizace objektu bývalé školy – společné plánování vedoucí k vytvoření studie a podkladů pro případný projekt / záměr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Zdůvodnění potřeby dané aktivity:</w:t>
            </w:r>
          </w:p>
        </w:tc>
        <w:tc>
          <w:tcPr>
            <w:tcW w:w="6804" w:type="dxa"/>
          </w:tcPr>
          <w:p w:rsidR="001B2CFC" w:rsidRDefault="001B2CFC" w:rsidP="006F6D8F">
            <w:r>
              <w:t>V obci se nachází objekt bývalé školy ve špatném technickém stavu bez využití. V minulém volebním období byl schválen záměr zastupitelstvem obce k přebudování objektu na sociální byty, který byl dopracován do stavu získání podpory z IROP. Před realizací se zvedla u místních obyvatel vlna protestů k připravenému využití. Nicméně objekt je již v takovém stavu, že je vhodné najít jeho využití, které bude přijato většinou komunity a současně bude proveditelné (zdroje, efektivnost, dopady pro život v obci).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Strategický cíl: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SC 2 Kvalita života a prostředí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Priorita: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3</w:t>
            </w:r>
            <w:r w:rsidRPr="00A16813">
              <w:t xml:space="preserve">. </w:t>
            </w:r>
            <w:r>
              <w:t>Společné plánování a informování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Opatření:</w:t>
            </w:r>
          </w:p>
        </w:tc>
        <w:tc>
          <w:tcPr>
            <w:tcW w:w="6804" w:type="dxa"/>
          </w:tcPr>
          <w:p w:rsidR="001B2CFC" w:rsidRPr="00A16813" w:rsidRDefault="001B2CFC" w:rsidP="006F6D8F">
            <w:r>
              <w:t>3.3</w:t>
            </w:r>
            <w:r w:rsidRPr="00A16813">
              <w:t xml:space="preserve"> </w:t>
            </w:r>
            <w:r>
              <w:t>Komunikační strategie a přenos informací k občanům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Indikátor:</w:t>
            </w:r>
          </w:p>
        </w:tc>
        <w:tc>
          <w:tcPr>
            <w:tcW w:w="6804" w:type="dxa"/>
          </w:tcPr>
          <w:p w:rsidR="001B2CFC" w:rsidRDefault="001B2CFC" w:rsidP="006F6D8F">
            <w:r>
              <w:t>počet aktivit ve veřejném zájmu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Dosažení indikátoru:</w:t>
            </w:r>
          </w:p>
        </w:tc>
        <w:tc>
          <w:tcPr>
            <w:tcW w:w="6804" w:type="dxa"/>
          </w:tcPr>
          <w:p w:rsidR="001B2CFC" w:rsidRDefault="001B2CFC" w:rsidP="006F6D8F">
            <w:r>
              <w:t>31. 10. 2021</w:t>
            </w:r>
          </w:p>
        </w:tc>
      </w:tr>
      <w:tr w:rsidR="001B2CFC" w:rsidTr="006F6D8F">
        <w:tc>
          <w:tcPr>
            <w:tcW w:w="2660" w:type="dxa"/>
            <w:shd w:val="clear" w:color="auto" w:fill="6ABAC5"/>
          </w:tcPr>
          <w:p w:rsidR="001B2CFC" w:rsidRDefault="001B2CFC" w:rsidP="006F6D8F">
            <w:r>
              <w:t>Zdroje:</w:t>
            </w:r>
          </w:p>
        </w:tc>
        <w:tc>
          <w:tcPr>
            <w:tcW w:w="6804" w:type="dxa"/>
          </w:tcPr>
          <w:p w:rsidR="001B2CFC" w:rsidRDefault="001B2CFC" w:rsidP="006F6D8F">
            <w:r>
              <w:t>vlastní zdroje</w:t>
            </w:r>
          </w:p>
        </w:tc>
      </w:tr>
      <w:tr w:rsidR="001B2CFC" w:rsidTr="006F6D8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ABAC5"/>
          </w:tcPr>
          <w:p w:rsidR="001B2CFC" w:rsidRDefault="001B2CFC" w:rsidP="006F6D8F">
            <w:r>
              <w:t>Podmínka k realizaci: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CFC" w:rsidRDefault="001B2CFC" w:rsidP="006F6D8F">
            <w:r>
              <w:t>schválená komunikační strategie</w:t>
            </w:r>
          </w:p>
        </w:tc>
      </w:tr>
    </w:tbl>
    <w:p w:rsidR="001B2CFC" w:rsidRPr="00BF52D0" w:rsidRDefault="001B2CFC" w:rsidP="001B2CFC"/>
    <w:p w:rsidR="00E06CB3" w:rsidRDefault="00E06CB3"/>
    <w:sectPr w:rsidR="00E06CB3" w:rsidSect="006B4068">
      <w:footerReference w:type="default" r:id="rId7"/>
      <w:headerReference w:type="first" r:id="rId8"/>
      <w:pgSz w:w="11906" w:h="16838"/>
      <w:pgMar w:top="1417" w:right="1466" w:bottom="1417" w:left="1440" w:header="180" w:footer="9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7467" w:rsidRDefault="00C17467" w:rsidP="001B2CFC">
      <w:pPr>
        <w:spacing w:after="0" w:line="240" w:lineRule="auto"/>
      </w:pPr>
      <w:r>
        <w:separator/>
      </w:r>
    </w:p>
  </w:endnote>
  <w:endnote w:type="continuationSeparator" w:id="0">
    <w:p w:rsidR="00C17467" w:rsidRDefault="00C17467" w:rsidP="001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 w:rsidP="001B2CFC">
    <w:pPr>
      <w:jc w:val="left"/>
    </w:pPr>
    <w:r w:rsidRPr="00C93735">
      <w:t xml:space="preserve">Projekt Strategické řízení a plánování obcí DSO Nová Lípa </w:t>
    </w:r>
    <w:r>
      <w:t xml:space="preserve">CZ.03.4.74/0.0/0.0/16_058/0007431 </w:t>
    </w:r>
    <w:r w:rsidRPr="00C93735">
      <w:t>byl podpořen z Operačního programu Zaměstnanost</w:t>
    </w:r>
    <w:r>
      <w:t xml:space="preserve"> </w:t>
    </w:r>
  </w:p>
  <w:p w:rsidR="001B2CFC" w:rsidRDefault="001B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7467" w:rsidRDefault="00C17467" w:rsidP="001B2CFC">
      <w:pPr>
        <w:spacing w:after="0" w:line="240" w:lineRule="auto"/>
      </w:pPr>
      <w:r>
        <w:separator/>
      </w:r>
    </w:p>
  </w:footnote>
  <w:footnote w:type="continuationSeparator" w:id="0">
    <w:p w:rsidR="00C17467" w:rsidRDefault="00C17467" w:rsidP="001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CFC" w:rsidRDefault="001B2CFC">
    <w:pPr>
      <w:pStyle w:val="Zhlav"/>
    </w:pPr>
  </w:p>
  <w:p w:rsidR="001B2CFC" w:rsidRDefault="001B2CF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5271135</wp:posOffset>
          </wp:positionH>
          <wp:positionV relativeFrom="paragraph">
            <wp:posOffset>2540</wp:posOffset>
          </wp:positionV>
          <wp:extent cx="519430" cy="531495"/>
          <wp:effectExtent l="0" t="0" r="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t="32346" r="39980" b="30014"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 xml:space="preserve"> INCLUDEPICTURE "https://www.esfcr.cz/documents/21802/799076/Logo+OPZ+barevn%C3%A9/d8fa3b25-df28-4abc-adde-b9ecbb4c2430?version=1.1&amp;t=1493801701970"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s://www.esfcr.cz/documents/21802/799076/Logo+OPZ+barevn%C3%A9/d8fa3b25-df28-4abc-adde-b9ecbb4c2430?version=1.1&amp;t=1493801701970" style="width:156pt;height:33pt">
          <v:imagedata r:id="rId2" r:href="rId3"/>
        </v:shape>
      </w:pic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06C1C"/>
    <w:multiLevelType w:val="multilevel"/>
    <w:tmpl w:val="C31C9B8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567" w:hanging="567"/>
      </w:pPr>
      <w:rPr>
        <w:rFonts w:hint="default"/>
        <w:sz w:val="32"/>
        <w:szCs w:val="32"/>
      </w:rPr>
    </w:lvl>
    <w:lvl w:ilvl="1">
      <w:start w:val="1"/>
      <w:numFmt w:val="decimal"/>
      <w:pStyle w:val="Nadpis21"/>
      <w:lvlText w:val="%1.%2."/>
      <w:lvlJc w:val="left"/>
      <w:pPr>
        <w:tabs>
          <w:tab w:val="num" w:pos="284"/>
        </w:tabs>
        <w:ind w:left="1134" w:hanging="85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FC"/>
    <w:rsid w:val="001B2CFC"/>
    <w:rsid w:val="00C17467"/>
    <w:rsid w:val="00E0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FEC1"/>
  <w15:chartTrackingRefBased/>
  <w15:docId w15:val="{456488F3-B663-498C-951F-4D85321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1B2CFC"/>
    <w:pPr>
      <w:autoSpaceDE w:val="0"/>
      <w:autoSpaceDN w:val="0"/>
      <w:adjustRightInd w:val="0"/>
      <w:spacing w:after="120" w:line="276" w:lineRule="auto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B2CFC"/>
    <w:pPr>
      <w:keepNext/>
      <w:numPr>
        <w:numId w:val="1"/>
      </w:numPr>
      <w:spacing w:before="360" w:after="60"/>
      <w:ind w:left="0"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autoRedefine/>
    <w:qFormat/>
    <w:rsid w:val="001B2CF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2CFC"/>
    <w:rPr>
      <w:rFonts w:ascii="Calibri" w:eastAsia="Batang" w:hAnsi="Calibri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1B2CFC"/>
    <w:rPr>
      <w:rFonts w:ascii="Calibri" w:eastAsia="Batang" w:hAnsi="Calibri" w:cs="Arial"/>
      <w:b/>
      <w:bCs/>
      <w:sz w:val="24"/>
      <w:szCs w:val="26"/>
      <w:lang w:eastAsia="cs-CZ"/>
    </w:rPr>
  </w:style>
  <w:style w:type="paragraph" w:customStyle="1" w:styleId="Nadpis21">
    <w:name w:val="Nadpis 21"/>
    <w:basedOn w:val="Normln"/>
    <w:next w:val="Normln"/>
    <w:autoRedefine/>
    <w:rsid w:val="001B2CFC"/>
    <w:pPr>
      <w:keepNext/>
      <w:numPr>
        <w:ilvl w:val="1"/>
        <w:numId w:val="1"/>
      </w:numPr>
      <w:spacing w:before="360" w:after="60"/>
      <w:ind w:left="709" w:firstLine="0"/>
      <w:outlineLvl w:val="1"/>
    </w:pPr>
    <w:rPr>
      <w:rFonts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CFC"/>
    <w:rPr>
      <w:rFonts w:ascii="Calibri" w:eastAsia="Batang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esfcr.cz/documents/21802/799076/Logo+OPZ+barevn%C3%A9/d8fa3b25-df28-4abc-adde-b9ecbb4c2430?version=1.1&amp;t=149380170197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Šustrová</dc:creator>
  <cp:keywords/>
  <dc:description/>
  <cp:lastModifiedBy>Michaela Šustrová</cp:lastModifiedBy>
  <cp:revision>1</cp:revision>
  <dcterms:created xsi:type="dcterms:W3CDTF">2020-06-01T17:57:00Z</dcterms:created>
  <dcterms:modified xsi:type="dcterms:W3CDTF">2020-06-01T17:59:00Z</dcterms:modified>
</cp:coreProperties>
</file>