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3905" w:rsidRDefault="00D63905" w:rsidP="00D63905">
      <w:pPr>
        <w:pStyle w:val="Nadpis1"/>
        <w:keepLines/>
        <w:widowControl w:val="0"/>
        <w:numPr>
          <w:ilvl w:val="0"/>
          <w:numId w:val="4"/>
        </w:numPr>
        <w:spacing w:line="240" w:lineRule="auto"/>
      </w:pPr>
      <w:r w:rsidRPr="00831556">
        <w:t>Akční plán</w:t>
      </w:r>
      <w:r>
        <w:t xml:space="preserve"> města Horní Cerekev</w:t>
      </w:r>
      <w:r w:rsidRPr="00831556">
        <w:t xml:space="preserve"> – rok 2020</w:t>
      </w:r>
      <w:r>
        <w:t>-2021</w:t>
      </w:r>
    </w:p>
    <w:p w:rsidR="00D63905" w:rsidRPr="008B0F90" w:rsidRDefault="00D63905" w:rsidP="00D63905">
      <w:r>
        <w:t>AP 2020-01</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sidRPr="00C00AAB">
              <w:rPr>
                <w:b/>
              </w:rPr>
              <w:t>2.</w:t>
            </w:r>
            <w:r>
              <w:rPr>
                <w:b/>
              </w:rPr>
              <w:t>2</w:t>
            </w:r>
            <w:r w:rsidRPr="00C00AAB">
              <w:rPr>
                <w:b/>
              </w:rPr>
              <w:t xml:space="preserve">.1 </w:t>
            </w:r>
            <w:r>
              <w:rPr>
                <w:b/>
              </w:rPr>
              <w:t>Posílení vodního zdroje</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Realizace vrtu pitné vody</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Obecný problém Vysočiny – nedostatek pitné vody – so dotýká i Horní Cerkve, proto je třeba hledat nové zdroje a ty zrealizovat.</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SC 2 Kvalita života 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sidRPr="00C00AAB">
              <w:rPr>
                <w:bCs/>
              </w:rPr>
              <w:t>2. Voda v obci</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sidRPr="00C00AAB">
              <w:rPr>
                <w:bCs/>
              </w:rPr>
              <w:t>2.</w:t>
            </w:r>
            <w:r>
              <w:rPr>
                <w:bCs/>
              </w:rPr>
              <w:t>2</w:t>
            </w:r>
            <w:r w:rsidRPr="00C00AAB">
              <w:rPr>
                <w:bCs/>
              </w:rPr>
              <w:t xml:space="preserve"> </w:t>
            </w:r>
            <w:r>
              <w:rPr>
                <w:bCs/>
              </w:rPr>
              <w:t>Dostatečné zdroje</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existence technické </w:t>
            </w:r>
            <w:r w:rsidRPr="00C00AAB">
              <w:t>infrastruktury</w:t>
            </w:r>
            <w:r>
              <w:t xml:space="preserve"> - % na obyvatele</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31. 1</w:t>
            </w:r>
            <w:r>
              <w:t>2</w:t>
            </w:r>
            <w:r w:rsidRPr="00C00AAB">
              <w:t>. 202</w:t>
            </w:r>
            <w:r>
              <w:t>0</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podíl dotace z kraje + vlastní zdroje</w:t>
            </w:r>
          </w:p>
        </w:tc>
      </w:tr>
    </w:tbl>
    <w:p w:rsidR="00D63905" w:rsidRDefault="00D63905" w:rsidP="00D63905"/>
    <w:p w:rsidR="00D63905" w:rsidRDefault="00D63905" w:rsidP="00D63905">
      <w:r>
        <w:t>AP 2020-02</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sidRPr="00C00AAB">
              <w:rPr>
                <w:b/>
              </w:rPr>
              <w:t>2.</w:t>
            </w:r>
            <w:r>
              <w:rPr>
                <w:b/>
              </w:rPr>
              <w:t>2</w:t>
            </w:r>
            <w:r w:rsidRPr="00C00AAB">
              <w:rPr>
                <w:b/>
              </w:rPr>
              <w:t>.</w:t>
            </w:r>
            <w:r>
              <w:rPr>
                <w:b/>
              </w:rPr>
              <w:t>2</w:t>
            </w:r>
            <w:r w:rsidRPr="00C00AAB">
              <w:rPr>
                <w:b/>
              </w:rPr>
              <w:t xml:space="preserve"> </w:t>
            </w:r>
            <w:r>
              <w:rPr>
                <w:b/>
              </w:rPr>
              <w:t>Oprava vodovodu</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Oprava vodovodu – projektová příprava</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Default="00D63905" w:rsidP="006F6D8F">
            <w:r>
              <w:t>Poruchovost a zastaralá infrastruktura několika větví vyžaduje částečnou obnovu, včetně souvisejících objektů.</w:t>
            </w:r>
          </w:p>
          <w:p w:rsidR="00D63905" w:rsidRPr="00C00AAB" w:rsidRDefault="00D63905" w:rsidP="006F6D8F">
            <w:r>
              <w:t>Aktivita je v souladu s PRVK Kraje Vysočina.</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SC 2 Kvalita života 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sidRPr="00C00AAB">
              <w:rPr>
                <w:bCs/>
              </w:rPr>
              <w:t>2. Voda v obci</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sidRPr="00C00AAB">
              <w:rPr>
                <w:bCs/>
              </w:rPr>
              <w:t>2.</w:t>
            </w:r>
            <w:r>
              <w:rPr>
                <w:bCs/>
              </w:rPr>
              <w:t>2</w:t>
            </w:r>
            <w:r w:rsidRPr="00C00AAB">
              <w:rPr>
                <w:bCs/>
              </w:rPr>
              <w:t xml:space="preserve"> </w:t>
            </w:r>
            <w:r>
              <w:rPr>
                <w:bCs/>
              </w:rPr>
              <w:t>Dostatečné zdroje</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existence technické </w:t>
            </w:r>
            <w:r w:rsidRPr="00C00AAB">
              <w:t>infrastruktury</w:t>
            </w:r>
            <w:r>
              <w:t xml:space="preserve"> - % na obyvatele</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31. 1</w:t>
            </w:r>
            <w:r>
              <w:t>2</w:t>
            </w:r>
            <w:r w:rsidRPr="00C00AAB">
              <w:t>. 202</w:t>
            </w:r>
            <w:r>
              <w:t>0</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podíl dotace z kraje + vlastní zdroje</w:t>
            </w:r>
          </w:p>
        </w:tc>
      </w:tr>
    </w:tbl>
    <w:p w:rsidR="00D63905" w:rsidRDefault="00D63905" w:rsidP="00D63905"/>
    <w:p w:rsidR="00D63905" w:rsidRDefault="00D63905" w:rsidP="00D63905">
      <w:r>
        <w:t>AP 2020-03</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sidRPr="00C00AAB">
              <w:rPr>
                <w:b/>
              </w:rPr>
              <w:t>2.</w:t>
            </w:r>
            <w:r>
              <w:rPr>
                <w:b/>
              </w:rPr>
              <w:t>3</w:t>
            </w:r>
            <w:r w:rsidRPr="00C00AAB">
              <w:rPr>
                <w:b/>
              </w:rPr>
              <w:t>.</w:t>
            </w:r>
            <w:r>
              <w:rPr>
                <w:b/>
              </w:rPr>
              <w:t>1</w:t>
            </w:r>
            <w:r w:rsidRPr="00C00AAB">
              <w:rPr>
                <w:b/>
              </w:rPr>
              <w:t xml:space="preserve"> </w:t>
            </w:r>
            <w:r>
              <w:rPr>
                <w:b/>
              </w:rPr>
              <w:t>Oprava technologie ČOV + kanalizace</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Oprava technologie ČOV a částí kanalizace – projektová příprava</w:t>
            </w:r>
          </w:p>
        </w:tc>
      </w:tr>
      <w:tr w:rsidR="00D63905" w:rsidRPr="00C00AAB" w:rsidTr="006F6D8F">
        <w:tc>
          <w:tcPr>
            <w:tcW w:w="2660" w:type="dxa"/>
            <w:shd w:val="clear" w:color="auto" w:fill="6ABAC5"/>
          </w:tcPr>
          <w:p w:rsidR="00D63905" w:rsidRPr="00C00AAB" w:rsidRDefault="00D63905" w:rsidP="006F6D8F">
            <w:pPr>
              <w:rPr>
                <w:b/>
              </w:rPr>
            </w:pPr>
            <w:r w:rsidRPr="00C00AAB">
              <w:rPr>
                <w:b/>
              </w:rPr>
              <w:lastRenderedPageBreak/>
              <w:t>Zdůvodnění potřeby dané aktivity:</w:t>
            </w:r>
          </w:p>
        </w:tc>
        <w:tc>
          <w:tcPr>
            <w:tcW w:w="6804" w:type="dxa"/>
          </w:tcPr>
          <w:p w:rsidR="00D63905" w:rsidRDefault="00D63905" w:rsidP="006F6D8F">
            <w:r>
              <w:t>Kanalizace je místně dožilá, intenzita ČOV je hraniční.</w:t>
            </w:r>
          </w:p>
          <w:p w:rsidR="00D63905" w:rsidRPr="00C00AAB" w:rsidRDefault="00D63905" w:rsidP="006F6D8F">
            <w:r>
              <w:t>Aktivita je v souladu s PRVK Kraje Vysočina.</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SC 2 Kvalita života 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sidRPr="00C00AAB">
              <w:rPr>
                <w:bCs/>
              </w:rPr>
              <w:t>2. Voda v obci</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sidRPr="00C00AAB">
              <w:rPr>
                <w:bCs/>
              </w:rPr>
              <w:t>2.</w:t>
            </w:r>
            <w:r>
              <w:rPr>
                <w:bCs/>
              </w:rPr>
              <w:t>3</w:t>
            </w:r>
            <w:r w:rsidRPr="00C00AAB">
              <w:rPr>
                <w:bCs/>
              </w:rPr>
              <w:t xml:space="preserve"> </w:t>
            </w:r>
            <w:r>
              <w:rPr>
                <w:bCs/>
              </w:rPr>
              <w:t>Kanalizace a čištění</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existence technické </w:t>
            </w:r>
            <w:r w:rsidRPr="00C00AAB">
              <w:t>infrastruktury</w:t>
            </w:r>
            <w:r>
              <w:t xml:space="preserve"> - % na obyvatele</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31. 1</w:t>
            </w:r>
            <w:r>
              <w:t>2</w:t>
            </w:r>
            <w:r w:rsidRPr="00C00AAB">
              <w:t>. 202</w:t>
            </w:r>
            <w:r>
              <w:t>0</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podíl dotace z kraje + vlastní zdroje</w:t>
            </w:r>
          </w:p>
        </w:tc>
      </w:tr>
    </w:tbl>
    <w:p w:rsidR="00D63905" w:rsidRDefault="00D63905" w:rsidP="00D63905"/>
    <w:p w:rsidR="00D63905" w:rsidRDefault="00D63905" w:rsidP="00D63905">
      <w:r>
        <w:t>AP 2020-04</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sidRPr="00C00AAB">
              <w:rPr>
                <w:b/>
              </w:rPr>
              <w:t>2.</w:t>
            </w:r>
            <w:r>
              <w:rPr>
                <w:b/>
              </w:rPr>
              <w:t>4</w:t>
            </w:r>
            <w:r w:rsidRPr="00C00AAB">
              <w:rPr>
                <w:b/>
              </w:rPr>
              <w:t>.</w:t>
            </w:r>
            <w:r>
              <w:rPr>
                <w:b/>
              </w:rPr>
              <w:t>1</w:t>
            </w:r>
            <w:r w:rsidRPr="00C00AAB">
              <w:rPr>
                <w:b/>
              </w:rPr>
              <w:t xml:space="preserve"> </w:t>
            </w:r>
            <w:r>
              <w:rPr>
                <w:b/>
              </w:rPr>
              <w:t>Koncepce péče o krajinu</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Návrh střednědobé koncepce péče o krajinu a vzniku krajinných prvků z hlediska hospodaření s vodou</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Obecný problém Vysočiny s nedostatkem vody a jejím zadržováním v krajině, následné sucho, požáry apod.</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SC 2 Kvalita života 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sidRPr="00C00AAB">
              <w:rPr>
                <w:bCs/>
              </w:rPr>
              <w:t>2. Voda v obci</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sidRPr="00C00AAB">
              <w:rPr>
                <w:bCs/>
              </w:rPr>
              <w:t>2.</w:t>
            </w:r>
            <w:r>
              <w:rPr>
                <w:bCs/>
              </w:rPr>
              <w:t>4</w:t>
            </w:r>
            <w:r w:rsidRPr="00C00AAB">
              <w:rPr>
                <w:bCs/>
              </w:rPr>
              <w:t xml:space="preserve"> </w:t>
            </w:r>
            <w:r>
              <w:rPr>
                <w:bCs/>
              </w:rPr>
              <w:t>Voda v krajině</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aktivity v ochraně životního prostředí – počet</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31. 1</w:t>
            </w:r>
            <w:r>
              <w:t>2</w:t>
            </w:r>
            <w:r w:rsidRPr="00C00AAB">
              <w:t>. 202</w:t>
            </w:r>
            <w:r>
              <w:t>0</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podíl dotace z kraje + vlastní zdroje</w:t>
            </w:r>
            <w:r>
              <w:t xml:space="preserve"> + OP ŽP</w:t>
            </w:r>
          </w:p>
        </w:tc>
      </w:tr>
    </w:tbl>
    <w:p w:rsidR="00D63905" w:rsidRDefault="00D63905" w:rsidP="00D63905"/>
    <w:p w:rsidR="00D63905" w:rsidRPr="00C00AAB" w:rsidRDefault="00D63905" w:rsidP="00D63905">
      <w:r>
        <w:t>AP 2020-05</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sidRPr="00C00AAB">
              <w:rPr>
                <w:b/>
              </w:rPr>
              <w:t>3.</w:t>
            </w:r>
            <w:r>
              <w:rPr>
                <w:b/>
              </w:rPr>
              <w:t>2</w:t>
            </w:r>
            <w:r w:rsidRPr="00C00AAB">
              <w:rPr>
                <w:b/>
              </w:rPr>
              <w:t xml:space="preserve">.1 </w:t>
            </w:r>
            <w:r>
              <w:rPr>
                <w:b/>
              </w:rPr>
              <w:t>Pravidla pro řešení vzhledu obce</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Vytvoření pravidel / dokumentu pro zachování vzhledu obce, vč. místních částí – typického charakteru min. v exponovaných částech obce: fasády soukromých objektů, vč. případné podpory jako motivace</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 xml:space="preserve">Obec je turisticky atraktivní, avšak potenciál není využíván a z ekonomických důvodů majitelé neakcentují historickou hodnotu. </w:t>
            </w:r>
            <w:r>
              <w:lastRenderedPageBreak/>
              <w:t>Podpora rázu obce by obec povýšila na atraktivní místo jak pro život, tak pro rozvoj turismu. Protože tato aktivita však není možná „z moci úřední“, je třeba na ní dosáhnout širšího konsensu.</w:t>
            </w:r>
          </w:p>
        </w:tc>
      </w:tr>
      <w:tr w:rsidR="00D63905" w:rsidRPr="00C00AAB" w:rsidTr="006F6D8F">
        <w:tc>
          <w:tcPr>
            <w:tcW w:w="2660" w:type="dxa"/>
            <w:shd w:val="clear" w:color="auto" w:fill="6ABAC5"/>
          </w:tcPr>
          <w:p w:rsidR="00D63905" w:rsidRPr="00C00AAB" w:rsidRDefault="00D63905" w:rsidP="006F6D8F">
            <w:pPr>
              <w:rPr>
                <w:b/>
              </w:rPr>
            </w:pPr>
            <w:r w:rsidRPr="00C00AAB">
              <w:rPr>
                <w:b/>
              </w:rPr>
              <w:lastRenderedPageBreak/>
              <w:t>Strategický cíl:</w:t>
            </w:r>
          </w:p>
        </w:tc>
        <w:tc>
          <w:tcPr>
            <w:tcW w:w="6804" w:type="dxa"/>
          </w:tcPr>
          <w:p w:rsidR="00D63905" w:rsidRPr="00C00AAB" w:rsidRDefault="00D63905" w:rsidP="006F6D8F">
            <w:pPr>
              <w:rPr>
                <w:b/>
                <w:bCs/>
              </w:rPr>
            </w:pPr>
            <w:r w:rsidRPr="00C00AAB">
              <w:rPr>
                <w:b/>
                <w:bCs/>
              </w:rPr>
              <w:t>SC 3 Občanská společnost a veřejná správa</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sidRPr="00C00AAB">
              <w:rPr>
                <w:bCs/>
              </w:rPr>
              <w:t xml:space="preserve">3. </w:t>
            </w:r>
            <w:r>
              <w:rPr>
                <w:bCs/>
              </w:rPr>
              <w:t>Společné plánování a informování</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3.</w:t>
            </w:r>
            <w:r w:rsidRPr="00C00AAB">
              <w:rPr>
                <w:bCs/>
              </w:rPr>
              <w:t xml:space="preserve">2 </w:t>
            </w:r>
            <w:r>
              <w:rPr>
                <w:bCs/>
              </w:rPr>
              <w:t>Participace na plánování</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Spolupráce mezi sektory / subjekty – počet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w:t>
            </w:r>
            <w:r>
              <w:t>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p>
        </w:tc>
      </w:tr>
    </w:tbl>
    <w:p w:rsidR="00D63905" w:rsidRDefault="00D63905" w:rsidP="00D63905"/>
    <w:p w:rsidR="00D63905" w:rsidRDefault="00D63905" w:rsidP="00D63905">
      <w:r>
        <w:t>AP 2020-06</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sidRPr="00C00AAB">
              <w:rPr>
                <w:b/>
              </w:rPr>
              <w:t>3.</w:t>
            </w:r>
            <w:r>
              <w:rPr>
                <w:b/>
              </w:rPr>
              <w:t>2</w:t>
            </w:r>
            <w:r w:rsidRPr="00C00AAB">
              <w:rPr>
                <w:b/>
              </w:rPr>
              <w:t>.</w:t>
            </w:r>
            <w:r>
              <w:rPr>
                <w:b/>
              </w:rPr>
              <w:t>2</w:t>
            </w:r>
            <w:r w:rsidRPr="00C00AAB">
              <w:rPr>
                <w:b/>
              </w:rPr>
              <w:t xml:space="preserve"> </w:t>
            </w:r>
            <w:r>
              <w:rPr>
                <w:b/>
              </w:rPr>
              <w:t>Pravidla pro podporu podnikání</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Vytvoření pravidel / dokumentu pro podporu lokální ekonomiky</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Obec můžeme mít významný podíl na podpoře lokální ekonomiky, a to vytvářením podmínek pro rozvoj podnikání, sdílení obecního majetku, či budování infrastruktury tak, aby podpořila lokální ekonomiku. Nicméně není to primární úkolem obce a měla by být stanovena jasná a transparentní pravidla, aby byl dodržen rovný přístup a byla zajištěna efektivita.</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SC 3 Občanská společnost a veřejná správa</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sidRPr="00C00AAB">
              <w:rPr>
                <w:bCs/>
              </w:rPr>
              <w:t xml:space="preserve">3. </w:t>
            </w:r>
            <w:r>
              <w:rPr>
                <w:bCs/>
              </w:rPr>
              <w:t>Společné plánování a informování</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3.</w:t>
            </w:r>
            <w:r w:rsidRPr="00C00AAB">
              <w:rPr>
                <w:bCs/>
              </w:rPr>
              <w:t xml:space="preserve">2 </w:t>
            </w:r>
            <w:r>
              <w:rPr>
                <w:bCs/>
              </w:rPr>
              <w:t>Participace na plánování</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spolupráce mezi sektory / subjekty – počet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w:t>
            </w:r>
            <w:r>
              <w:t>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p>
        </w:tc>
      </w:tr>
    </w:tbl>
    <w:p w:rsidR="00D63905" w:rsidRDefault="00D63905" w:rsidP="00D63905"/>
    <w:p w:rsidR="00D63905" w:rsidRDefault="00D63905" w:rsidP="00D63905">
      <w:r>
        <w:t>AP 2020-07</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sidRPr="00C00AAB">
              <w:rPr>
                <w:b/>
              </w:rPr>
              <w:t>3.</w:t>
            </w:r>
            <w:r>
              <w:rPr>
                <w:b/>
              </w:rPr>
              <w:t>3</w:t>
            </w:r>
            <w:r w:rsidRPr="00C00AAB">
              <w:rPr>
                <w:b/>
              </w:rPr>
              <w:t xml:space="preserve">.1 </w:t>
            </w:r>
            <w:r>
              <w:rPr>
                <w:b/>
              </w:rPr>
              <w:t>Osvěta v nakládání a hospodaření s přírodními zdroji</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Mix osvětových aktivit zaměřených na různé CS v otázkách hospodaření s vodou, lokální topeniště, větrné elektrárny, odpady</w:t>
            </w:r>
          </w:p>
        </w:tc>
      </w:tr>
      <w:tr w:rsidR="00D63905" w:rsidRPr="00C00AAB" w:rsidTr="006F6D8F">
        <w:tc>
          <w:tcPr>
            <w:tcW w:w="2660" w:type="dxa"/>
            <w:shd w:val="clear" w:color="auto" w:fill="6ABAC5"/>
          </w:tcPr>
          <w:p w:rsidR="00D63905" w:rsidRPr="00C00AAB" w:rsidRDefault="00D63905" w:rsidP="006F6D8F">
            <w:pPr>
              <w:rPr>
                <w:b/>
              </w:rPr>
            </w:pPr>
            <w:r w:rsidRPr="00C00AAB">
              <w:rPr>
                <w:b/>
              </w:rPr>
              <w:lastRenderedPageBreak/>
              <w:t>Zdůvodnění potřeby dané aktivity:</w:t>
            </w:r>
          </w:p>
        </w:tc>
        <w:tc>
          <w:tcPr>
            <w:tcW w:w="6804" w:type="dxa"/>
          </w:tcPr>
          <w:p w:rsidR="00D63905" w:rsidRPr="00C00AAB" w:rsidRDefault="00D63905" w:rsidP="006F6D8F">
            <w:r>
              <w:t>Obec přechází na nový způsob nakládání s odpady (D2D systém), řeší problémy s nedostatkem vody, v zimním období pak znečištění ovzduší z lokálních topenišť a koncepci kraje z hlediska větrné energie.</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SC 3 Občanská společnost a veřejná správa</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sidRPr="00C00AAB">
              <w:rPr>
                <w:bCs/>
              </w:rPr>
              <w:t xml:space="preserve">3. </w:t>
            </w:r>
            <w:r>
              <w:rPr>
                <w:bCs/>
              </w:rPr>
              <w:t>Společné plánování a informování</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3.3</w:t>
            </w:r>
            <w:r w:rsidRPr="00C00AAB">
              <w:rPr>
                <w:bCs/>
              </w:rPr>
              <w:t xml:space="preserve"> </w:t>
            </w:r>
            <w:r>
              <w:rPr>
                <w:bCs/>
              </w:rPr>
              <w:t>Komunikační strategie a přenos informací k občanům</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spolupráce mezi sektory / subjekty – počet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w:t>
            </w:r>
            <w:r>
              <w:t>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r>
              <w:t xml:space="preserve"> + Místní Agenda 21</w:t>
            </w:r>
          </w:p>
        </w:tc>
      </w:tr>
    </w:tbl>
    <w:p w:rsidR="00D63905" w:rsidRDefault="00D63905" w:rsidP="00D63905"/>
    <w:p w:rsidR="00D63905" w:rsidRDefault="00D63905" w:rsidP="00D63905">
      <w:r>
        <w:t>AP 2020-08</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Pr>
                <w:b/>
              </w:rPr>
              <w:t>4</w:t>
            </w:r>
            <w:r w:rsidRPr="00C00AAB">
              <w:rPr>
                <w:b/>
              </w:rPr>
              <w:t>.1</w:t>
            </w:r>
            <w:r>
              <w:rPr>
                <w:b/>
              </w:rPr>
              <w:t>.1</w:t>
            </w:r>
            <w:r w:rsidRPr="00C00AAB">
              <w:rPr>
                <w:b/>
              </w:rPr>
              <w:t xml:space="preserve"> </w:t>
            </w:r>
            <w:r>
              <w:rPr>
                <w:b/>
              </w:rPr>
              <w:t>Adaptace kulturního domu na komunitní centrum</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Koncepce a následná projektová dokumentace pro adaptaci KD</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Koncepce KD, jak byly pojímány v minulosti, je pro komunitní život v obci nedostatečná. Pro aktivizaci komunity a podporu nejen formálních, ale také neformálních aktivit je potřeba zajistit vhodnou infrastrukturu dle potřeb komunity.</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 xml:space="preserve">SC </w:t>
            </w:r>
            <w:r>
              <w:rPr>
                <w:b/>
                <w:bCs/>
              </w:rPr>
              <w:t>2</w:t>
            </w:r>
            <w:r w:rsidRPr="00C00AAB">
              <w:rPr>
                <w:b/>
                <w:bCs/>
              </w:rPr>
              <w:t xml:space="preserve"> </w:t>
            </w:r>
            <w:r>
              <w:rPr>
                <w:b/>
                <w:bCs/>
              </w:rPr>
              <w:t>Kvalita života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Pr>
                <w:bCs/>
              </w:rPr>
              <w:t>4</w:t>
            </w:r>
            <w:r w:rsidRPr="00C00AAB">
              <w:rPr>
                <w:bCs/>
              </w:rPr>
              <w:t xml:space="preserve">. </w:t>
            </w:r>
            <w:r>
              <w:rPr>
                <w:bCs/>
              </w:rPr>
              <w:t>Sladění rodinného a pracovního života, rozvoj komunity</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4.1</w:t>
            </w:r>
            <w:r w:rsidRPr="00C00AAB">
              <w:rPr>
                <w:bCs/>
              </w:rPr>
              <w:t xml:space="preserve"> </w:t>
            </w:r>
            <w:r>
              <w:rPr>
                <w:bCs/>
              </w:rPr>
              <w:t>Revitalizace a rozvoj obecního majetku pro podporu komunitního života a služeb</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Revitalizace ploch / objektů – počet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w:t>
            </w:r>
            <w:r>
              <w:t>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r>
              <w:t xml:space="preserve"> + Místní Agenda 21</w:t>
            </w:r>
          </w:p>
        </w:tc>
      </w:tr>
    </w:tbl>
    <w:p w:rsidR="00D63905" w:rsidRDefault="00D63905" w:rsidP="00D63905"/>
    <w:p w:rsidR="00D63905" w:rsidRDefault="00D63905" w:rsidP="00D63905">
      <w:r>
        <w:t>AP 2020-09</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Pr>
                <w:b/>
              </w:rPr>
              <w:t>4</w:t>
            </w:r>
            <w:r w:rsidRPr="00C00AAB">
              <w:rPr>
                <w:b/>
              </w:rPr>
              <w:t>.1</w:t>
            </w:r>
            <w:r>
              <w:rPr>
                <w:b/>
              </w:rPr>
              <w:t>.2</w:t>
            </w:r>
            <w:r w:rsidRPr="00C00AAB">
              <w:rPr>
                <w:b/>
              </w:rPr>
              <w:t xml:space="preserve"> </w:t>
            </w:r>
            <w:r>
              <w:rPr>
                <w:b/>
              </w:rPr>
              <w:t xml:space="preserve">Výstavba sportovní haly města – záměr </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Studie proveditelnosti pro výstavbu sportovní haly města – prověření efektivity řešení</w:t>
            </w:r>
          </w:p>
        </w:tc>
      </w:tr>
      <w:tr w:rsidR="00D63905" w:rsidRPr="00C00AAB" w:rsidTr="006F6D8F">
        <w:tc>
          <w:tcPr>
            <w:tcW w:w="2660" w:type="dxa"/>
            <w:shd w:val="clear" w:color="auto" w:fill="6ABAC5"/>
          </w:tcPr>
          <w:p w:rsidR="00D63905" w:rsidRPr="00C00AAB" w:rsidRDefault="00D63905" w:rsidP="006F6D8F">
            <w:pPr>
              <w:rPr>
                <w:b/>
              </w:rPr>
            </w:pPr>
            <w:r w:rsidRPr="00C00AAB">
              <w:rPr>
                <w:b/>
              </w:rPr>
              <w:lastRenderedPageBreak/>
              <w:t>Zdůvodnění potřeby dané aktivity:</w:t>
            </w:r>
          </w:p>
        </w:tc>
        <w:tc>
          <w:tcPr>
            <w:tcW w:w="6804" w:type="dxa"/>
          </w:tcPr>
          <w:p w:rsidR="00D63905" w:rsidRPr="00C00AAB" w:rsidRDefault="00D63905" w:rsidP="006F6D8F">
            <w:r>
              <w:t>Obec nedisponuje sportovišti ve vlastním majetku. Všechna sportoviště leží na soukromých pozemcích, neexistuje kryté sportoviště (školní tělocvična je malá, nemá dostatečné parametry pro velikost hřišť pro sálové sporty).</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 xml:space="preserve">SC </w:t>
            </w:r>
            <w:r>
              <w:rPr>
                <w:b/>
                <w:bCs/>
              </w:rPr>
              <w:t>2</w:t>
            </w:r>
            <w:r w:rsidRPr="00C00AAB">
              <w:rPr>
                <w:b/>
                <w:bCs/>
              </w:rPr>
              <w:t xml:space="preserve"> </w:t>
            </w:r>
            <w:r>
              <w:rPr>
                <w:b/>
                <w:bCs/>
              </w:rPr>
              <w:t>Kvalita života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Pr>
                <w:bCs/>
              </w:rPr>
              <w:t>4</w:t>
            </w:r>
            <w:r w:rsidRPr="00C00AAB">
              <w:rPr>
                <w:bCs/>
              </w:rPr>
              <w:t xml:space="preserve">. </w:t>
            </w:r>
            <w:r>
              <w:rPr>
                <w:bCs/>
              </w:rPr>
              <w:t>Sladění rodinného a pracovního života, rozvoj komunity</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4.1</w:t>
            </w:r>
            <w:r w:rsidRPr="00C00AAB">
              <w:rPr>
                <w:bCs/>
              </w:rPr>
              <w:t xml:space="preserve"> </w:t>
            </w:r>
            <w:r>
              <w:rPr>
                <w:bCs/>
              </w:rPr>
              <w:t>Revitalizace a rozvoj obecního majetku pro podporu komunitního života a služeb</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revitalizace ploch / objektů – počet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w:t>
            </w:r>
            <w:r>
              <w:t>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r>
              <w:t xml:space="preserve"> + Místní Agenda 21 + MMR</w:t>
            </w:r>
          </w:p>
        </w:tc>
      </w:tr>
    </w:tbl>
    <w:p w:rsidR="00D63905" w:rsidRDefault="00D63905" w:rsidP="00D63905"/>
    <w:p w:rsidR="00D63905" w:rsidRDefault="00D63905" w:rsidP="00D63905">
      <w:r>
        <w:t>AP 2020-10</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Pr>
                <w:b/>
              </w:rPr>
              <w:t>4</w:t>
            </w:r>
            <w:r w:rsidRPr="00C00AAB">
              <w:rPr>
                <w:b/>
              </w:rPr>
              <w:t>.1</w:t>
            </w:r>
            <w:r>
              <w:rPr>
                <w:b/>
              </w:rPr>
              <w:t>.3</w:t>
            </w:r>
            <w:r w:rsidRPr="00C00AAB">
              <w:rPr>
                <w:b/>
              </w:rPr>
              <w:t xml:space="preserve"> </w:t>
            </w:r>
            <w:r>
              <w:rPr>
                <w:b/>
              </w:rPr>
              <w:t>Rekonstrukce multifunkčního hřiště, vč. zázemí – projekt</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Studie proveditelnosti a následná PD pro rekonstrukci multifunkčního školního hřiště, vč zázemí</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Obec nedisponuje sportovišti ve vlastním majetku. Všechna sportoviště leží na soukromých pozemcích, neexistuje venkovní veřejné sportoviště (školní hřiště není aktuálně přístupné pro veřejnost a není možné jej zpřístupnit / není zázemí).</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 xml:space="preserve">SC </w:t>
            </w:r>
            <w:r>
              <w:rPr>
                <w:b/>
                <w:bCs/>
              </w:rPr>
              <w:t>2</w:t>
            </w:r>
            <w:r w:rsidRPr="00C00AAB">
              <w:rPr>
                <w:b/>
                <w:bCs/>
              </w:rPr>
              <w:t xml:space="preserve"> </w:t>
            </w:r>
            <w:r>
              <w:rPr>
                <w:b/>
                <w:bCs/>
              </w:rPr>
              <w:t>Kvalita života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Pr>
                <w:bCs/>
              </w:rPr>
              <w:t>4</w:t>
            </w:r>
            <w:r w:rsidRPr="00C00AAB">
              <w:rPr>
                <w:bCs/>
              </w:rPr>
              <w:t xml:space="preserve">. </w:t>
            </w:r>
            <w:r>
              <w:rPr>
                <w:bCs/>
              </w:rPr>
              <w:t>Sladění rodinného a pracovního života, rozvoj komunity</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4.1</w:t>
            </w:r>
            <w:r w:rsidRPr="00C00AAB">
              <w:rPr>
                <w:bCs/>
              </w:rPr>
              <w:t xml:space="preserve"> </w:t>
            </w:r>
            <w:r>
              <w:rPr>
                <w:bCs/>
              </w:rPr>
              <w:t>Revitalizace a rozvoj obecního majetku pro podporu komunitního života a služeb</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revitalizace ploch / objektů – počet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w:t>
            </w:r>
            <w:r>
              <w:t>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r>
              <w:t xml:space="preserve"> + Místní Agenda 21 + MMR</w:t>
            </w:r>
          </w:p>
        </w:tc>
      </w:tr>
    </w:tbl>
    <w:p w:rsidR="00D63905" w:rsidRDefault="00D63905" w:rsidP="00D63905"/>
    <w:p w:rsidR="00D63905" w:rsidRDefault="00D63905" w:rsidP="00D63905">
      <w:r>
        <w:t>AP 2020-11</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Pr>
                <w:b/>
              </w:rPr>
              <w:t>4</w:t>
            </w:r>
            <w:r w:rsidRPr="00C00AAB">
              <w:rPr>
                <w:b/>
              </w:rPr>
              <w:t>.1</w:t>
            </w:r>
            <w:r>
              <w:rPr>
                <w:b/>
              </w:rPr>
              <w:t>.4</w:t>
            </w:r>
            <w:r w:rsidRPr="00C00AAB">
              <w:rPr>
                <w:b/>
              </w:rPr>
              <w:t xml:space="preserve"> </w:t>
            </w:r>
            <w:r>
              <w:rPr>
                <w:b/>
              </w:rPr>
              <w:t>Zkvalitnit a rozšířit bytový fond obce</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Pasportizace bytového fondu obce a následný návrh rekonstrukce</w:t>
            </w:r>
          </w:p>
        </w:tc>
      </w:tr>
      <w:tr w:rsidR="00D63905" w:rsidRPr="00C00AAB" w:rsidTr="006F6D8F">
        <w:tc>
          <w:tcPr>
            <w:tcW w:w="2660" w:type="dxa"/>
            <w:shd w:val="clear" w:color="auto" w:fill="6ABAC5"/>
          </w:tcPr>
          <w:p w:rsidR="00D63905" w:rsidRPr="00C00AAB" w:rsidRDefault="00D63905" w:rsidP="006F6D8F">
            <w:pPr>
              <w:rPr>
                <w:b/>
              </w:rPr>
            </w:pPr>
            <w:r w:rsidRPr="00C00AAB">
              <w:rPr>
                <w:b/>
              </w:rPr>
              <w:lastRenderedPageBreak/>
              <w:t>Zdůvodnění potřeby dané aktivity:</w:t>
            </w:r>
          </w:p>
        </w:tc>
        <w:tc>
          <w:tcPr>
            <w:tcW w:w="6804" w:type="dxa"/>
          </w:tcPr>
          <w:p w:rsidR="00D63905" w:rsidRPr="00C00AAB" w:rsidRDefault="00D63905" w:rsidP="006F6D8F">
            <w:r>
              <w:t>Obec disponuje určitým bytovým fondem, do kterého nebylo v minulosti investováno. Navíc disponuje objekty, které by bylo možné na byty adaptovat. V obci je dostatečná CS, která by měla o bytový fond zájem, navíc je Cerekev v dojezdové vzdálenosti do krajského města.</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 xml:space="preserve">SC </w:t>
            </w:r>
            <w:r>
              <w:rPr>
                <w:b/>
                <w:bCs/>
              </w:rPr>
              <w:t>2</w:t>
            </w:r>
            <w:r w:rsidRPr="00C00AAB">
              <w:rPr>
                <w:b/>
                <w:bCs/>
              </w:rPr>
              <w:t xml:space="preserve"> </w:t>
            </w:r>
            <w:r>
              <w:rPr>
                <w:b/>
                <w:bCs/>
              </w:rPr>
              <w:t>Kvalita života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Pr>
                <w:bCs/>
              </w:rPr>
              <w:t>4</w:t>
            </w:r>
            <w:r w:rsidRPr="00C00AAB">
              <w:rPr>
                <w:bCs/>
              </w:rPr>
              <w:t xml:space="preserve">. </w:t>
            </w:r>
            <w:r>
              <w:rPr>
                <w:bCs/>
              </w:rPr>
              <w:t>Sladění rodinného a pracovního života, rozvoj komunity</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4.1</w:t>
            </w:r>
            <w:r w:rsidRPr="00C00AAB">
              <w:rPr>
                <w:bCs/>
              </w:rPr>
              <w:t xml:space="preserve"> </w:t>
            </w:r>
            <w:r>
              <w:rPr>
                <w:bCs/>
              </w:rPr>
              <w:t>Revitalizace a rozvoj obecního majetku pro podporu komunitního života a služeb</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revitalizace ploch / objektů – počet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w:t>
            </w:r>
            <w:r>
              <w:t>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r>
              <w:t xml:space="preserve"> + SFRB + MMR</w:t>
            </w:r>
          </w:p>
        </w:tc>
      </w:tr>
    </w:tbl>
    <w:p w:rsidR="00D63905" w:rsidRDefault="00D63905" w:rsidP="00D63905"/>
    <w:p w:rsidR="00D63905" w:rsidRDefault="00D63905" w:rsidP="00D63905">
      <w:r>
        <w:t>AP 2020-12</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Pr>
                <w:b/>
              </w:rPr>
              <w:t>4</w:t>
            </w:r>
            <w:r w:rsidRPr="00C00AAB">
              <w:rPr>
                <w:b/>
              </w:rPr>
              <w:t>.1</w:t>
            </w:r>
            <w:r>
              <w:rPr>
                <w:b/>
              </w:rPr>
              <w:t>.5</w:t>
            </w:r>
            <w:r w:rsidRPr="00C00AAB">
              <w:rPr>
                <w:b/>
              </w:rPr>
              <w:t xml:space="preserve"> </w:t>
            </w:r>
            <w:r>
              <w:rPr>
                <w:b/>
              </w:rPr>
              <w:t>Parcely pro výstavbu</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Vymezení a odkoupení ploch v soukromém majetku definovaných ÚP k zastavění</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Obec nedisponuje parcelami určenými k zastavění, tyto parcely jsou v rukou soukromníků, nicméně u nich nelze předkládat jejich zasíťování. Tím je však zastaven rozvoj obce, proto je důležité vyjednat odkup části pozemků k výstavbě.</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 xml:space="preserve">SC </w:t>
            </w:r>
            <w:r>
              <w:rPr>
                <w:b/>
                <w:bCs/>
              </w:rPr>
              <w:t>2</w:t>
            </w:r>
            <w:r w:rsidRPr="00C00AAB">
              <w:rPr>
                <w:b/>
                <w:bCs/>
              </w:rPr>
              <w:t xml:space="preserve"> </w:t>
            </w:r>
            <w:r>
              <w:rPr>
                <w:b/>
                <w:bCs/>
              </w:rPr>
              <w:t>Kvalita života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Pr>
                <w:bCs/>
              </w:rPr>
              <w:t>4</w:t>
            </w:r>
            <w:r w:rsidRPr="00C00AAB">
              <w:rPr>
                <w:bCs/>
              </w:rPr>
              <w:t xml:space="preserve">. </w:t>
            </w:r>
            <w:r>
              <w:rPr>
                <w:bCs/>
              </w:rPr>
              <w:t>Sladění rodinného a pracovního života, rozvoj komunity</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4.1</w:t>
            </w:r>
            <w:r w:rsidRPr="00C00AAB">
              <w:rPr>
                <w:bCs/>
              </w:rPr>
              <w:t xml:space="preserve"> </w:t>
            </w:r>
            <w:r>
              <w:rPr>
                <w:bCs/>
              </w:rPr>
              <w:t>Revitalizace a rozvoj obecního majetku pro podporu komunitního života a služeb</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revitalizace ploch / objektů – počet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w:t>
            </w:r>
            <w:r>
              <w:t>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r>
              <w:t xml:space="preserve"> + SFRB + MMR</w:t>
            </w:r>
          </w:p>
        </w:tc>
      </w:tr>
    </w:tbl>
    <w:p w:rsidR="00D63905" w:rsidRDefault="00D63905" w:rsidP="00D63905"/>
    <w:p w:rsidR="00D63905" w:rsidRDefault="00D63905" w:rsidP="00D63905">
      <w:r>
        <w:t>AP 2020-13</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Pr>
                <w:b/>
              </w:rPr>
              <w:t>4.1.6</w:t>
            </w:r>
            <w:r w:rsidRPr="00C00AAB">
              <w:rPr>
                <w:b/>
              </w:rPr>
              <w:t xml:space="preserve"> </w:t>
            </w:r>
            <w:r>
              <w:rPr>
                <w:b/>
              </w:rPr>
              <w:t>Sportoviště v majetku obce</w:t>
            </w:r>
          </w:p>
        </w:tc>
      </w:tr>
      <w:tr w:rsidR="00D63905" w:rsidRPr="00C00AAB" w:rsidTr="006F6D8F">
        <w:tc>
          <w:tcPr>
            <w:tcW w:w="2660" w:type="dxa"/>
            <w:shd w:val="clear" w:color="auto" w:fill="6ABAC5"/>
          </w:tcPr>
          <w:p w:rsidR="00D63905" w:rsidRPr="00C00AAB" w:rsidRDefault="00D63905" w:rsidP="006F6D8F">
            <w:pPr>
              <w:rPr>
                <w:b/>
              </w:rPr>
            </w:pPr>
            <w:r w:rsidRPr="00C00AAB">
              <w:rPr>
                <w:b/>
              </w:rPr>
              <w:lastRenderedPageBreak/>
              <w:t>Charakteristika aktivity:</w:t>
            </w:r>
          </w:p>
        </w:tc>
        <w:tc>
          <w:tcPr>
            <w:tcW w:w="6804" w:type="dxa"/>
          </w:tcPr>
          <w:p w:rsidR="00D63905" w:rsidRPr="00C00AAB" w:rsidRDefault="00D63905" w:rsidP="006F6D8F">
            <w:r>
              <w:t>Vyřešení veřejného sportoviště v majetku obce – odkup pozemku pod stávajícím sportovištěm nebo nákup vhodného pozemku pro vybudování sportoviště</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Obec nedisponuje veřejným sportovištěm v majetku obce.</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 xml:space="preserve">SC </w:t>
            </w:r>
            <w:r>
              <w:rPr>
                <w:b/>
                <w:bCs/>
              </w:rPr>
              <w:t>2</w:t>
            </w:r>
            <w:r w:rsidRPr="00C00AAB">
              <w:rPr>
                <w:b/>
                <w:bCs/>
              </w:rPr>
              <w:t xml:space="preserve"> </w:t>
            </w:r>
            <w:r>
              <w:rPr>
                <w:b/>
                <w:bCs/>
              </w:rPr>
              <w:t>Kvalita života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Pr>
                <w:bCs/>
              </w:rPr>
              <w:t>4</w:t>
            </w:r>
            <w:r w:rsidRPr="00C00AAB">
              <w:rPr>
                <w:bCs/>
              </w:rPr>
              <w:t xml:space="preserve">. </w:t>
            </w:r>
            <w:r>
              <w:rPr>
                <w:bCs/>
              </w:rPr>
              <w:t>Sladění rodinného a pracovního života, rozvoj komunity</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4.1</w:t>
            </w:r>
            <w:r w:rsidRPr="00C00AAB">
              <w:rPr>
                <w:bCs/>
              </w:rPr>
              <w:t xml:space="preserve"> </w:t>
            </w:r>
            <w:r>
              <w:rPr>
                <w:bCs/>
              </w:rPr>
              <w:t>Revitalizace a rozvoj obecního majetku pro podporu komunitního života a služeb</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revitalizace ploch / objektů – počet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w:t>
            </w:r>
            <w:r>
              <w:t>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r>
              <w:t xml:space="preserve"> + MMR</w:t>
            </w:r>
          </w:p>
        </w:tc>
      </w:tr>
    </w:tbl>
    <w:p w:rsidR="00D63905" w:rsidRDefault="00D63905" w:rsidP="00D63905"/>
    <w:p w:rsidR="00D63905" w:rsidRDefault="00D63905" w:rsidP="00D63905">
      <w:r>
        <w:t>AP 2020-13</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Pr>
                <w:b/>
              </w:rPr>
              <w:t>4</w:t>
            </w:r>
            <w:r w:rsidRPr="00C00AAB">
              <w:rPr>
                <w:b/>
              </w:rPr>
              <w:t>.</w:t>
            </w:r>
            <w:r>
              <w:rPr>
                <w:b/>
              </w:rPr>
              <w:t>2</w:t>
            </w:r>
            <w:r w:rsidRPr="00C00AAB">
              <w:rPr>
                <w:b/>
              </w:rPr>
              <w:t>.</w:t>
            </w:r>
            <w:r>
              <w:rPr>
                <w:b/>
              </w:rPr>
              <w:t>1</w:t>
            </w:r>
            <w:r w:rsidRPr="00C00AAB">
              <w:rPr>
                <w:b/>
              </w:rPr>
              <w:t xml:space="preserve"> </w:t>
            </w:r>
            <w:r>
              <w:rPr>
                <w:b/>
              </w:rPr>
              <w:t>Koncepční podpora spolků</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 xml:space="preserve">Materiální i nemateriální podpora spolků obce </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Spolky se podílí na většině akcí v obci. Jedná se o základního hybatele komunitního života, a to nejen při společenských akcích, ale také při brigádách. Udržet pozitivní přístup spolků k dobrovolné práci je pro udržitelný komunitní život v obci zásadní.</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SC 3 Občanská společnost a veřejná správa</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Pr>
                <w:bCs/>
              </w:rPr>
              <w:t xml:space="preserve">4. </w:t>
            </w:r>
            <w:r w:rsidRPr="002D51B1">
              <w:rPr>
                <w:bCs/>
              </w:rPr>
              <w:t>Sladění rodinného a pracovního života, rozvoj komunity</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4.</w:t>
            </w:r>
            <w:r w:rsidRPr="00C00AAB">
              <w:rPr>
                <w:bCs/>
              </w:rPr>
              <w:t>2</w:t>
            </w:r>
            <w:r>
              <w:rPr>
                <w:bCs/>
              </w:rPr>
              <w:t xml:space="preserve"> Podpora komunitních aktivit, soc. a zdravotních služeb</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Spolupráce mezi sektory / subjekty – počet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podíl dotace z kraje + vlastní zdroje</w:t>
            </w:r>
            <w:r>
              <w:t xml:space="preserve"> + Místní Agenda 21</w:t>
            </w:r>
          </w:p>
        </w:tc>
      </w:tr>
    </w:tbl>
    <w:p w:rsidR="00D63905" w:rsidRDefault="00D63905" w:rsidP="00D63905"/>
    <w:p w:rsidR="00D63905" w:rsidRDefault="00D63905" w:rsidP="00D63905">
      <w:r>
        <w:t>AP 2020-14</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Pr>
                <w:b/>
              </w:rPr>
              <w:t>5.2</w:t>
            </w:r>
            <w:r w:rsidRPr="00C00AAB">
              <w:rPr>
                <w:b/>
              </w:rPr>
              <w:t>.</w:t>
            </w:r>
            <w:r>
              <w:rPr>
                <w:b/>
              </w:rPr>
              <w:t>1</w:t>
            </w:r>
            <w:r w:rsidRPr="00C00AAB">
              <w:rPr>
                <w:b/>
              </w:rPr>
              <w:t xml:space="preserve"> </w:t>
            </w:r>
            <w:r>
              <w:rPr>
                <w:b/>
              </w:rPr>
              <w:t>Koncepce využití lomu</w:t>
            </w:r>
          </w:p>
        </w:tc>
      </w:tr>
      <w:tr w:rsidR="00D63905" w:rsidRPr="00C00AAB" w:rsidTr="006F6D8F">
        <w:tc>
          <w:tcPr>
            <w:tcW w:w="2660" w:type="dxa"/>
            <w:shd w:val="clear" w:color="auto" w:fill="6ABAC5"/>
          </w:tcPr>
          <w:p w:rsidR="00D63905" w:rsidRPr="00C00AAB" w:rsidRDefault="00D63905" w:rsidP="006F6D8F">
            <w:pPr>
              <w:rPr>
                <w:b/>
              </w:rPr>
            </w:pPr>
            <w:r w:rsidRPr="00C00AAB">
              <w:rPr>
                <w:b/>
              </w:rPr>
              <w:lastRenderedPageBreak/>
              <w:t>Charakteristika aktivity:</w:t>
            </w:r>
          </w:p>
        </w:tc>
        <w:tc>
          <w:tcPr>
            <w:tcW w:w="6804" w:type="dxa"/>
          </w:tcPr>
          <w:p w:rsidR="00D63905" w:rsidRPr="00C00AAB" w:rsidRDefault="00D63905" w:rsidP="006F6D8F">
            <w:r>
              <w:t>Návrh střednědobé koncepce využití největší atraktivity obce pro rozvoj</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Zatopený lom je unikátním místem ke koupaní a potápění ve volné přírodě, obec však z tohoto zdroje netěží, spíše nese náklady (úklid, parkování v obci apod.).</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 xml:space="preserve">SC </w:t>
            </w:r>
            <w:r>
              <w:rPr>
                <w:b/>
                <w:bCs/>
              </w:rPr>
              <w:t>2</w:t>
            </w:r>
            <w:r w:rsidRPr="00C00AAB">
              <w:rPr>
                <w:b/>
                <w:bCs/>
              </w:rPr>
              <w:t xml:space="preserve"> </w:t>
            </w:r>
            <w:r>
              <w:rPr>
                <w:b/>
                <w:bCs/>
              </w:rPr>
              <w:t>Kvalita života 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Pr>
                <w:bCs/>
              </w:rPr>
              <w:t>5. Veřejný prostor a infrastruktura</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5.</w:t>
            </w:r>
            <w:r w:rsidRPr="00C00AAB">
              <w:rPr>
                <w:bCs/>
              </w:rPr>
              <w:t>2</w:t>
            </w:r>
            <w:r>
              <w:rPr>
                <w:bCs/>
              </w:rPr>
              <w:t xml:space="preserve"> Adaptace a dovybavení veřejného prostoru pro rozvoj potenciálu regionálního turismu</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Spolupráce mezi sektory / subjekty – počet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r>
              <w:t xml:space="preserve"> + MMR</w:t>
            </w:r>
          </w:p>
        </w:tc>
      </w:tr>
    </w:tbl>
    <w:p w:rsidR="00D63905" w:rsidRDefault="00D63905" w:rsidP="00D63905"/>
    <w:p w:rsidR="00D63905" w:rsidRDefault="00D63905" w:rsidP="00D63905">
      <w:r>
        <w:t>AP 2020-15</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Pr>
                <w:b/>
              </w:rPr>
              <w:t>5.3</w:t>
            </w:r>
            <w:r w:rsidRPr="00C00AAB">
              <w:rPr>
                <w:b/>
              </w:rPr>
              <w:t>.</w:t>
            </w:r>
            <w:r>
              <w:rPr>
                <w:b/>
              </w:rPr>
              <w:t>1</w:t>
            </w:r>
            <w:r w:rsidRPr="00C00AAB">
              <w:rPr>
                <w:b/>
              </w:rPr>
              <w:t xml:space="preserve"> </w:t>
            </w:r>
            <w:r>
              <w:rPr>
                <w:b/>
              </w:rPr>
              <w:t>Komunální technika</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Nákup komunální techniku pro údržbu obecního majetku jak v centrální části obce, tak ve všech 5 místních částech</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Katastr obce je rozsáhlý, charakterem je centrální část obce (město) jiná, než místní části (malé obce)</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 xml:space="preserve">SC </w:t>
            </w:r>
            <w:r>
              <w:rPr>
                <w:b/>
                <w:bCs/>
              </w:rPr>
              <w:t>2</w:t>
            </w:r>
            <w:r w:rsidRPr="00C00AAB">
              <w:rPr>
                <w:b/>
                <w:bCs/>
              </w:rPr>
              <w:t xml:space="preserve"> </w:t>
            </w:r>
            <w:r>
              <w:rPr>
                <w:b/>
                <w:bCs/>
              </w:rPr>
              <w:t>Kvalita života 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Pr>
                <w:bCs/>
              </w:rPr>
              <w:t>5. Veřejný prostor a infrastruktura</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5.3 Podpora multiplikačních efektů veřejné infrastruktury – dovybavení, moderní technologie, inovace</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 xml:space="preserve">existence technické infrastruktury – % na obyvatele </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r>
              <w:t xml:space="preserve"> + MMR</w:t>
            </w:r>
          </w:p>
        </w:tc>
      </w:tr>
    </w:tbl>
    <w:p w:rsidR="00D63905" w:rsidRDefault="00D63905" w:rsidP="00D63905"/>
    <w:p w:rsidR="00D63905" w:rsidRDefault="00D63905" w:rsidP="00D63905">
      <w:r>
        <w:t>AP 2020-16</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Pr>
                <w:b/>
              </w:rPr>
              <w:t>5.4</w:t>
            </w:r>
            <w:r w:rsidRPr="00C00AAB">
              <w:rPr>
                <w:b/>
              </w:rPr>
              <w:t>.</w:t>
            </w:r>
            <w:r>
              <w:rPr>
                <w:b/>
              </w:rPr>
              <w:t>1</w:t>
            </w:r>
            <w:r w:rsidRPr="00C00AAB">
              <w:rPr>
                <w:b/>
              </w:rPr>
              <w:t xml:space="preserve"> </w:t>
            </w:r>
            <w:r>
              <w:rPr>
                <w:b/>
              </w:rPr>
              <w:t>Oprava místní komunikace</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Stavební obnova</w:t>
            </w:r>
          </w:p>
        </w:tc>
      </w:tr>
      <w:tr w:rsidR="00D63905" w:rsidRPr="00C00AAB" w:rsidTr="006F6D8F">
        <w:tc>
          <w:tcPr>
            <w:tcW w:w="2660" w:type="dxa"/>
            <w:shd w:val="clear" w:color="auto" w:fill="6ABAC5"/>
          </w:tcPr>
          <w:p w:rsidR="00D63905" w:rsidRPr="00C00AAB" w:rsidRDefault="00D63905" w:rsidP="006F6D8F">
            <w:pPr>
              <w:rPr>
                <w:b/>
              </w:rPr>
            </w:pPr>
            <w:r w:rsidRPr="00C00AAB">
              <w:rPr>
                <w:b/>
              </w:rPr>
              <w:lastRenderedPageBreak/>
              <w:t>Zdůvodnění potřeby dané aktivity:</w:t>
            </w:r>
          </w:p>
        </w:tc>
        <w:tc>
          <w:tcPr>
            <w:tcW w:w="6804" w:type="dxa"/>
          </w:tcPr>
          <w:p w:rsidR="00D63905" w:rsidRPr="00C00AAB" w:rsidRDefault="00D63905" w:rsidP="006F6D8F">
            <w:r>
              <w:t>Komunikace ve špatném technickém stavu</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 xml:space="preserve">SC </w:t>
            </w:r>
            <w:r>
              <w:rPr>
                <w:b/>
                <w:bCs/>
              </w:rPr>
              <w:t>2</w:t>
            </w:r>
            <w:r w:rsidRPr="00C00AAB">
              <w:rPr>
                <w:b/>
                <w:bCs/>
              </w:rPr>
              <w:t xml:space="preserve"> </w:t>
            </w:r>
            <w:r>
              <w:rPr>
                <w:b/>
                <w:bCs/>
              </w:rPr>
              <w:t>Kvalita života 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Pr>
                <w:bCs/>
              </w:rPr>
              <w:t>5. Veřejný prostor a infrastruktura</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5.4 Rozvoj technické infrastruktury – pořízení, obnova, inovace</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existence technické infrastruktury – počet (km)</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r>
              <w:t xml:space="preserve"> + MMR</w:t>
            </w:r>
          </w:p>
        </w:tc>
      </w:tr>
    </w:tbl>
    <w:p w:rsidR="00D63905" w:rsidRDefault="00D63905" w:rsidP="00D63905"/>
    <w:p w:rsidR="00D63905" w:rsidRDefault="00D63905" w:rsidP="00D63905">
      <w:r>
        <w:t>AP 2020-17</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6804"/>
      </w:tblGrid>
      <w:tr w:rsidR="00D63905" w:rsidRPr="00C00AAB" w:rsidTr="006F6D8F">
        <w:tc>
          <w:tcPr>
            <w:tcW w:w="2660" w:type="dxa"/>
            <w:shd w:val="clear" w:color="auto" w:fill="6ABAC5"/>
          </w:tcPr>
          <w:p w:rsidR="00D63905" w:rsidRPr="00C00AAB" w:rsidRDefault="00D63905" w:rsidP="006F6D8F">
            <w:pPr>
              <w:rPr>
                <w:b/>
              </w:rPr>
            </w:pPr>
            <w:r w:rsidRPr="00C00AAB">
              <w:rPr>
                <w:b/>
              </w:rPr>
              <w:t>Číslo a název aktivity:</w:t>
            </w:r>
          </w:p>
        </w:tc>
        <w:tc>
          <w:tcPr>
            <w:tcW w:w="6804" w:type="dxa"/>
          </w:tcPr>
          <w:p w:rsidR="00D63905" w:rsidRPr="00C00AAB" w:rsidRDefault="00D63905" w:rsidP="006F6D8F">
            <w:pPr>
              <w:rPr>
                <w:b/>
              </w:rPr>
            </w:pPr>
            <w:r>
              <w:rPr>
                <w:b/>
              </w:rPr>
              <w:t>1.4</w:t>
            </w:r>
            <w:r w:rsidRPr="00C00AAB">
              <w:rPr>
                <w:b/>
              </w:rPr>
              <w:t>.</w:t>
            </w:r>
            <w:r>
              <w:rPr>
                <w:b/>
              </w:rPr>
              <w:t>1</w:t>
            </w:r>
            <w:r w:rsidRPr="00C00AAB">
              <w:rPr>
                <w:b/>
              </w:rPr>
              <w:t xml:space="preserve"> </w:t>
            </w:r>
            <w:r>
              <w:rPr>
                <w:b/>
              </w:rPr>
              <w:t>Dobudování chodníků v obci</w:t>
            </w:r>
          </w:p>
        </w:tc>
      </w:tr>
      <w:tr w:rsidR="00D63905" w:rsidRPr="00C00AAB" w:rsidTr="006F6D8F">
        <w:tc>
          <w:tcPr>
            <w:tcW w:w="2660" w:type="dxa"/>
            <w:shd w:val="clear" w:color="auto" w:fill="6ABAC5"/>
          </w:tcPr>
          <w:p w:rsidR="00D63905" w:rsidRPr="00C00AAB" w:rsidRDefault="00D63905" w:rsidP="006F6D8F">
            <w:pPr>
              <w:rPr>
                <w:b/>
              </w:rPr>
            </w:pPr>
            <w:r w:rsidRPr="00C00AAB">
              <w:rPr>
                <w:b/>
              </w:rPr>
              <w:t>Charakteristika aktivity:</w:t>
            </w:r>
          </w:p>
        </w:tc>
        <w:tc>
          <w:tcPr>
            <w:tcW w:w="6804" w:type="dxa"/>
          </w:tcPr>
          <w:p w:rsidR="00D63905" w:rsidRPr="00C00AAB" w:rsidRDefault="00D63905" w:rsidP="006F6D8F">
            <w:r>
              <w:t>Výstavba</w:t>
            </w:r>
          </w:p>
        </w:tc>
      </w:tr>
      <w:tr w:rsidR="00D63905" w:rsidRPr="00C00AAB" w:rsidTr="006F6D8F">
        <w:tc>
          <w:tcPr>
            <w:tcW w:w="2660" w:type="dxa"/>
            <w:shd w:val="clear" w:color="auto" w:fill="6ABAC5"/>
          </w:tcPr>
          <w:p w:rsidR="00D63905" w:rsidRPr="00C00AAB" w:rsidRDefault="00D63905" w:rsidP="006F6D8F">
            <w:pPr>
              <w:rPr>
                <w:b/>
              </w:rPr>
            </w:pPr>
            <w:r w:rsidRPr="00C00AAB">
              <w:rPr>
                <w:b/>
              </w:rPr>
              <w:t>Zdůvodnění potřeby dané aktivity:</w:t>
            </w:r>
          </w:p>
        </w:tc>
        <w:tc>
          <w:tcPr>
            <w:tcW w:w="6804" w:type="dxa"/>
          </w:tcPr>
          <w:p w:rsidR="00D63905" w:rsidRPr="00C00AAB" w:rsidRDefault="00D63905" w:rsidP="006F6D8F">
            <w:r>
              <w:t>Neexistence podmínek pro alternativní / pěší způsob dopravy</w:t>
            </w:r>
          </w:p>
        </w:tc>
      </w:tr>
      <w:tr w:rsidR="00D63905" w:rsidRPr="00C00AAB" w:rsidTr="006F6D8F">
        <w:tc>
          <w:tcPr>
            <w:tcW w:w="2660" w:type="dxa"/>
            <w:shd w:val="clear" w:color="auto" w:fill="6ABAC5"/>
          </w:tcPr>
          <w:p w:rsidR="00D63905" w:rsidRPr="00C00AAB" w:rsidRDefault="00D63905" w:rsidP="006F6D8F">
            <w:pPr>
              <w:rPr>
                <w:b/>
              </w:rPr>
            </w:pPr>
            <w:r w:rsidRPr="00C00AAB">
              <w:rPr>
                <w:b/>
              </w:rPr>
              <w:t>Strategický cíl:</w:t>
            </w:r>
          </w:p>
        </w:tc>
        <w:tc>
          <w:tcPr>
            <w:tcW w:w="6804" w:type="dxa"/>
          </w:tcPr>
          <w:p w:rsidR="00D63905" w:rsidRPr="00C00AAB" w:rsidRDefault="00D63905" w:rsidP="006F6D8F">
            <w:pPr>
              <w:rPr>
                <w:b/>
                <w:bCs/>
              </w:rPr>
            </w:pPr>
            <w:r w:rsidRPr="00C00AAB">
              <w:rPr>
                <w:b/>
                <w:bCs/>
              </w:rPr>
              <w:t xml:space="preserve">SC </w:t>
            </w:r>
            <w:r>
              <w:rPr>
                <w:b/>
                <w:bCs/>
              </w:rPr>
              <w:t>2</w:t>
            </w:r>
            <w:r w:rsidRPr="00C00AAB">
              <w:rPr>
                <w:b/>
                <w:bCs/>
              </w:rPr>
              <w:t xml:space="preserve"> </w:t>
            </w:r>
            <w:r>
              <w:rPr>
                <w:b/>
                <w:bCs/>
              </w:rPr>
              <w:t>Kvalita života a prostředí</w:t>
            </w:r>
          </w:p>
        </w:tc>
      </w:tr>
      <w:tr w:rsidR="00D63905" w:rsidRPr="00C00AAB" w:rsidTr="006F6D8F">
        <w:tc>
          <w:tcPr>
            <w:tcW w:w="2660" w:type="dxa"/>
            <w:shd w:val="clear" w:color="auto" w:fill="6ABAC5"/>
          </w:tcPr>
          <w:p w:rsidR="00D63905" w:rsidRPr="00C00AAB" w:rsidRDefault="00D63905" w:rsidP="006F6D8F">
            <w:pPr>
              <w:rPr>
                <w:b/>
              </w:rPr>
            </w:pPr>
            <w:r w:rsidRPr="00C00AAB">
              <w:rPr>
                <w:b/>
              </w:rPr>
              <w:t>Priorita:</w:t>
            </w:r>
          </w:p>
        </w:tc>
        <w:tc>
          <w:tcPr>
            <w:tcW w:w="6804" w:type="dxa"/>
          </w:tcPr>
          <w:p w:rsidR="00D63905" w:rsidRPr="00C00AAB" w:rsidRDefault="00D63905" w:rsidP="006F6D8F">
            <w:pPr>
              <w:rPr>
                <w:bCs/>
              </w:rPr>
            </w:pPr>
            <w:r>
              <w:rPr>
                <w:bCs/>
              </w:rPr>
              <w:t>1. Dostupnost</w:t>
            </w:r>
          </w:p>
        </w:tc>
      </w:tr>
      <w:tr w:rsidR="00D63905" w:rsidRPr="00C00AAB" w:rsidTr="006F6D8F">
        <w:tc>
          <w:tcPr>
            <w:tcW w:w="2660" w:type="dxa"/>
            <w:shd w:val="clear" w:color="auto" w:fill="6ABAC5"/>
          </w:tcPr>
          <w:p w:rsidR="00D63905" w:rsidRPr="00C00AAB" w:rsidRDefault="00D63905" w:rsidP="006F6D8F">
            <w:pPr>
              <w:rPr>
                <w:b/>
              </w:rPr>
            </w:pPr>
            <w:r w:rsidRPr="00C00AAB">
              <w:rPr>
                <w:b/>
              </w:rPr>
              <w:t>Opatření:</w:t>
            </w:r>
          </w:p>
        </w:tc>
        <w:tc>
          <w:tcPr>
            <w:tcW w:w="6804" w:type="dxa"/>
          </w:tcPr>
          <w:p w:rsidR="00D63905" w:rsidRPr="00C00AAB" w:rsidRDefault="00D63905" w:rsidP="006F6D8F">
            <w:pPr>
              <w:rPr>
                <w:bCs/>
              </w:rPr>
            </w:pPr>
            <w:r>
              <w:rPr>
                <w:bCs/>
              </w:rPr>
              <w:t xml:space="preserve">1.3 </w:t>
            </w:r>
            <w:r>
              <w:t>Podmínky pro bezpečnou a alternativní dopravu</w:t>
            </w:r>
          </w:p>
        </w:tc>
      </w:tr>
      <w:tr w:rsidR="00D63905" w:rsidRPr="00C00AAB" w:rsidTr="006F6D8F">
        <w:tc>
          <w:tcPr>
            <w:tcW w:w="2660" w:type="dxa"/>
            <w:shd w:val="clear" w:color="auto" w:fill="6ABAC5"/>
          </w:tcPr>
          <w:p w:rsidR="00D63905" w:rsidRPr="00C00AAB" w:rsidRDefault="00D63905" w:rsidP="006F6D8F">
            <w:pPr>
              <w:rPr>
                <w:b/>
              </w:rPr>
            </w:pPr>
            <w:r w:rsidRPr="00C00AAB">
              <w:rPr>
                <w:b/>
              </w:rPr>
              <w:t>Indikátor:</w:t>
            </w:r>
          </w:p>
        </w:tc>
        <w:tc>
          <w:tcPr>
            <w:tcW w:w="6804" w:type="dxa"/>
          </w:tcPr>
          <w:p w:rsidR="00D63905" w:rsidRPr="00C00AAB" w:rsidRDefault="00D63905" w:rsidP="006F6D8F">
            <w:r>
              <w:t>existence technické infrastruktury – počet (km)</w:t>
            </w:r>
          </w:p>
        </w:tc>
      </w:tr>
      <w:tr w:rsidR="00D63905" w:rsidRPr="00C00AAB" w:rsidTr="006F6D8F">
        <w:tc>
          <w:tcPr>
            <w:tcW w:w="2660" w:type="dxa"/>
            <w:shd w:val="clear" w:color="auto" w:fill="6ABAC5"/>
          </w:tcPr>
          <w:p w:rsidR="00D63905" w:rsidRPr="00C00AAB" w:rsidRDefault="00D63905" w:rsidP="006F6D8F">
            <w:pPr>
              <w:rPr>
                <w:b/>
              </w:rPr>
            </w:pPr>
            <w:r w:rsidRPr="00C00AAB">
              <w:rPr>
                <w:b/>
              </w:rPr>
              <w:t>Dosažení indikátoru:</w:t>
            </w:r>
          </w:p>
        </w:tc>
        <w:tc>
          <w:tcPr>
            <w:tcW w:w="6804" w:type="dxa"/>
          </w:tcPr>
          <w:p w:rsidR="00D63905" w:rsidRPr="00C00AAB" w:rsidRDefault="00D63905" w:rsidP="006F6D8F">
            <w:r w:rsidRPr="00C00AAB">
              <w:t>31. 0</w:t>
            </w:r>
            <w:r>
              <w:t>3</w:t>
            </w:r>
            <w:r w:rsidRPr="00C00AAB">
              <w:t>. 2021</w:t>
            </w:r>
          </w:p>
        </w:tc>
      </w:tr>
      <w:tr w:rsidR="00D63905" w:rsidRPr="00C00AAB" w:rsidTr="006F6D8F">
        <w:tc>
          <w:tcPr>
            <w:tcW w:w="2660" w:type="dxa"/>
            <w:shd w:val="clear" w:color="auto" w:fill="6ABAC5"/>
          </w:tcPr>
          <w:p w:rsidR="00D63905" w:rsidRPr="00C00AAB" w:rsidRDefault="00D63905" w:rsidP="006F6D8F">
            <w:pPr>
              <w:rPr>
                <w:b/>
              </w:rPr>
            </w:pPr>
            <w:r w:rsidRPr="00C00AAB">
              <w:rPr>
                <w:b/>
              </w:rPr>
              <w:t>Zdroje:</w:t>
            </w:r>
          </w:p>
        </w:tc>
        <w:tc>
          <w:tcPr>
            <w:tcW w:w="6804" w:type="dxa"/>
          </w:tcPr>
          <w:p w:rsidR="00D63905" w:rsidRPr="00C00AAB" w:rsidRDefault="00D63905" w:rsidP="006F6D8F">
            <w:r w:rsidRPr="00C00AAB">
              <w:t>vlastní zdroje</w:t>
            </w:r>
            <w:r>
              <w:t xml:space="preserve"> + MMR</w:t>
            </w:r>
          </w:p>
        </w:tc>
      </w:tr>
    </w:tbl>
    <w:p w:rsidR="00D63905" w:rsidRPr="006A0039" w:rsidRDefault="00D63905" w:rsidP="00D63905"/>
    <w:p w:rsidR="00E06CB3" w:rsidRPr="00D63905" w:rsidRDefault="00E06CB3" w:rsidP="00D63905"/>
    <w:sectPr w:rsidR="00E06CB3" w:rsidRPr="00D63905" w:rsidSect="006B4068">
      <w:footerReference w:type="default" r:id="rId7"/>
      <w:headerReference w:type="first" r:id="rId8"/>
      <w:pgSz w:w="11906" w:h="16838"/>
      <w:pgMar w:top="1417" w:right="1466" w:bottom="1417" w:left="1440" w:header="180" w:footer="9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2A20" w:rsidRDefault="004A2A20" w:rsidP="001B2CFC">
      <w:pPr>
        <w:spacing w:after="0" w:line="240" w:lineRule="auto"/>
      </w:pPr>
      <w:r>
        <w:separator/>
      </w:r>
    </w:p>
  </w:endnote>
  <w:endnote w:type="continuationSeparator" w:id="0">
    <w:p w:rsidR="004A2A20" w:rsidRDefault="004A2A20" w:rsidP="001B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B2CFC" w:rsidRDefault="001B2CFC" w:rsidP="001B2CFC">
    <w:pPr>
      <w:jc w:val="left"/>
    </w:pPr>
    <w:r w:rsidRPr="00C93735">
      <w:t xml:space="preserve">Projekt Strategické řízení a plánování obcí DSO Nová Lípa </w:t>
    </w:r>
    <w:r>
      <w:t xml:space="preserve">CZ.03.4.74/0.0/0.0/16_058/0007431 </w:t>
    </w:r>
    <w:r w:rsidRPr="00C93735">
      <w:t>byl podpořen z Operačního programu Zaměstnanost</w:t>
    </w:r>
    <w:r>
      <w:t xml:space="preserve"> </w:t>
    </w:r>
  </w:p>
  <w:p w:rsidR="001B2CFC" w:rsidRDefault="001B2C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2A20" w:rsidRDefault="004A2A20" w:rsidP="001B2CFC">
      <w:pPr>
        <w:spacing w:after="0" w:line="240" w:lineRule="auto"/>
      </w:pPr>
      <w:r>
        <w:separator/>
      </w:r>
    </w:p>
  </w:footnote>
  <w:footnote w:type="continuationSeparator" w:id="0">
    <w:p w:rsidR="004A2A20" w:rsidRDefault="004A2A20" w:rsidP="001B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B2CFC" w:rsidRDefault="001B2CFC">
    <w:pPr>
      <w:pStyle w:val="Zhlav"/>
    </w:pPr>
  </w:p>
  <w:p w:rsidR="001B2CFC" w:rsidRDefault="001B2CFC">
    <w:pPr>
      <w:pStyle w:val="Zhlav"/>
    </w:pPr>
    <w:r>
      <w:rPr>
        <w:noProof/>
      </w:rPr>
      <w:drawing>
        <wp:anchor distT="0" distB="0" distL="114300" distR="114300" simplePos="0" relativeHeight="251658240" behindDoc="1" locked="0" layoutInCell="1" allowOverlap="1">
          <wp:simplePos x="0" y="0"/>
          <wp:positionH relativeFrom="column">
            <wp:posOffset>5271135</wp:posOffset>
          </wp:positionH>
          <wp:positionV relativeFrom="paragraph">
            <wp:posOffset>2540</wp:posOffset>
          </wp:positionV>
          <wp:extent cx="519430" cy="531495"/>
          <wp:effectExtent l="0" t="0" r="0" b="190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3"/>
                  <pic:cNvPicPr>
                    <a:picLocks noChangeAspect="1" noChangeArrowheads="1"/>
                  </pic:cNvPicPr>
                </pic:nvPicPr>
                <pic:blipFill>
                  <a:blip r:embed="rId1">
                    <a:extLst>
                      <a:ext uri="{28A0092B-C50C-407E-A947-70E740481C1C}">
                        <a14:useLocalDpi xmlns:a14="http://schemas.microsoft.com/office/drawing/2010/main" val="0"/>
                      </a:ext>
                    </a:extLst>
                  </a:blip>
                  <a:srcRect l="39352" t="32346" r="39980" b="30014"/>
                  <a:stretch>
                    <a:fillRect/>
                  </a:stretch>
                </pic:blipFill>
                <pic:spPr bwMode="auto">
                  <a:xfrm>
                    <a:off x="0" y="0"/>
                    <a:ext cx="519430" cy="53149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INCLUDEPICTURE "https://www.esfcr.cz/documents/21802/799076/Logo+OPZ+barevn%C3%A9/d8fa3b25-df28-4abc-adde-b9ecbb4c2430?version=1.1&amp;t=1493801701970"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s://www.esfcr.cz/documents/21802/799076/Logo+OPZ+barevn%C3%A9/d8fa3b25-df28-4abc-adde-b9ecbb4c2430?version=1.1&amp;t=1493801701970" style="width:156pt;height:33pt">
          <v:imagedata r:id="rId2" r:href="rId3"/>
        </v:shape>
      </w:pic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06C1C"/>
    <w:multiLevelType w:val="multilevel"/>
    <w:tmpl w:val="C31C9B88"/>
    <w:lvl w:ilvl="0">
      <w:start w:val="1"/>
      <w:numFmt w:val="decimal"/>
      <w:pStyle w:val="Nadpis1"/>
      <w:lvlText w:val="%1."/>
      <w:lvlJc w:val="left"/>
      <w:pPr>
        <w:tabs>
          <w:tab w:val="num" w:pos="397"/>
        </w:tabs>
        <w:ind w:left="567" w:hanging="567"/>
      </w:pPr>
      <w:rPr>
        <w:rFonts w:hint="default"/>
        <w:sz w:val="32"/>
        <w:szCs w:val="32"/>
      </w:rPr>
    </w:lvl>
    <w:lvl w:ilvl="1">
      <w:start w:val="1"/>
      <w:numFmt w:val="decimal"/>
      <w:pStyle w:val="Nadpis21"/>
      <w:lvlText w:val="%1.%2."/>
      <w:lvlJc w:val="left"/>
      <w:pPr>
        <w:tabs>
          <w:tab w:val="num" w:pos="284"/>
        </w:tabs>
        <w:ind w:left="1134" w:hanging="850"/>
      </w:pPr>
      <w:rPr>
        <w:rFonts w:hint="default"/>
      </w:rPr>
    </w:lvl>
    <w:lvl w:ilvl="2">
      <w:start w:val="1"/>
      <w:numFmt w:val="decimal"/>
      <w:pStyle w:val="Nadpis3"/>
      <w:lvlText w:val="%1.%2.%3."/>
      <w:lvlJc w:val="left"/>
      <w:pPr>
        <w:tabs>
          <w:tab w:val="num" w:pos="1134"/>
        </w:tabs>
        <w:ind w:left="1134" w:hanging="567"/>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 w15:restartNumberingAfterBreak="0">
    <w:nsid w:val="33795B25"/>
    <w:multiLevelType w:val="hybridMultilevel"/>
    <w:tmpl w:val="BCDA6C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AEA1636"/>
    <w:multiLevelType w:val="hybridMultilevel"/>
    <w:tmpl w:val="4976C1DE"/>
    <w:lvl w:ilvl="0" w:tplc="AC108866">
      <w:start w:val="10"/>
      <w:numFmt w:val="bullet"/>
      <w:lvlText w:val="-"/>
      <w:lvlJc w:val="left"/>
      <w:pPr>
        <w:tabs>
          <w:tab w:val="num" w:pos="720"/>
        </w:tabs>
        <w:ind w:left="720" w:hanging="360"/>
      </w:pPr>
      <w:rPr>
        <w:rFonts w:ascii="Calibri" w:eastAsia="Times New Roman" w:hAnsi="Calibri" w:cs="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BAB3DF5"/>
    <w:multiLevelType w:val="multilevel"/>
    <w:tmpl w:val="B2AE45CE"/>
    <w:lvl w:ilvl="0">
      <w:start w:val="1"/>
      <w:numFmt w:val="decimal"/>
      <w:pStyle w:val="Nadpis1"/>
      <w:lvlText w:val="%1."/>
      <w:lvlJc w:val="left"/>
      <w:pPr>
        <w:tabs>
          <w:tab w:val="num" w:pos="1390"/>
        </w:tabs>
        <w:ind w:left="1560" w:hanging="567"/>
      </w:pPr>
      <w:rPr>
        <w:rFonts w:cs="Times New Roman" w:hint="default"/>
      </w:rPr>
    </w:lvl>
    <w:lvl w:ilvl="1">
      <w:start w:val="1"/>
      <w:numFmt w:val="decimal"/>
      <w:pStyle w:val="Nadpis2"/>
      <w:lvlText w:val="%1.%2."/>
      <w:lvlJc w:val="left"/>
      <w:pPr>
        <w:tabs>
          <w:tab w:val="num" w:pos="284"/>
        </w:tabs>
        <w:ind w:left="567" w:hanging="283"/>
      </w:pPr>
      <w:rPr>
        <w:rFonts w:cs="Times New Roman" w:hint="default"/>
      </w:rPr>
    </w:lvl>
    <w:lvl w:ilvl="2">
      <w:start w:val="1"/>
      <w:numFmt w:val="decimal"/>
      <w:lvlText w:val="%1.%2.%3."/>
      <w:lvlJc w:val="left"/>
      <w:pPr>
        <w:tabs>
          <w:tab w:val="num" w:pos="1134"/>
        </w:tabs>
        <w:ind w:left="1134" w:hanging="567"/>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FC"/>
    <w:rsid w:val="001B2CFC"/>
    <w:rsid w:val="004A2A20"/>
    <w:rsid w:val="00786CD6"/>
    <w:rsid w:val="00C76310"/>
    <w:rsid w:val="00D63905"/>
    <w:rsid w:val="00E06C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9FEC1"/>
  <w15:chartTrackingRefBased/>
  <w15:docId w15:val="{456488F3-B663-498C-951F-4D85321F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utoRedefine/>
    <w:qFormat/>
    <w:rsid w:val="001B2CFC"/>
    <w:pPr>
      <w:autoSpaceDE w:val="0"/>
      <w:autoSpaceDN w:val="0"/>
      <w:adjustRightInd w:val="0"/>
      <w:spacing w:after="120" w:line="276" w:lineRule="auto"/>
      <w:jc w:val="both"/>
    </w:pPr>
    <w:rPr>
      <w:rFonts w:ascii="Calibri" w:eastAsia="Batang" w:hAnsi="Calibri" w:cs="Calibri"/>
      <w:sz w:val="24"/>
      <w:szCs w:val="24"/>
      <w:lang w:eastAsia="cs-CZ"/>
    </w:rPr>
  </w:style>
  <w:style w:type="paragraph" w:styleId="Nadpis1">
    <w:name w:val="heading 1"/>
    <w:basedOn w:val="Normln"/>
    <w:next w:val="Normln"/>
    <w:link w:val="Nadpis1Char"/>
    <w:autoRedefine/>
    <w:qFormat/>
    <w:rsid w:val="001B2CFC"/>
    <w:pPr>
      <w:keepNext/>
      <w:numPr>
        <w:numId w:val="1"/>
      </w:numPr>
      <w:spacing w:before="360" w:after="60"/>
      <w:ind w:left="0" w:firstLine="0"/>
      <w:outlineLvl w:val="0"/>
    </w:pPr>
    <w:rPr>
      <w:rFonts w:cs="Arial"/>
      <w:b/>
      <w:bCs/>
      <w:kern w:val="32"/>
      <w:sz w:val="32"/>
      <w:szCs w:val="32"/>
    </w:rPr>
  </w:style>
  <w:style w:type="paragraph" w:styleId="Nadpis2">
    <w:name w:val="heading 2"/>
    <w:basedOn w:val="Normln"/>
    <w:next w:val="Normln"/>
    <w:link w:val="Nadpis2Char"/>
    <w:autoRedefine/>
    <w:uiPriority w:val="99"/>
    <w:qFormat/>
    <w:rsid w:val="00D63905"/>
    <w:pPr>
      <w:keepNext/>
      <w:tabs>
        <w:tab w:val="num" w:pos="284"/>
      </w:tabs>
      <w:ind w:left="567" w:hanging="283"/>
      <w:outlineLvl w:val="1"/>
    </w:pPr>
    <w:rPr>
      <w:rFonts w:eastAsia="Times New Roman" w:cs="Times New Roman"/>
      <w:b/>
      <w:szCs w:val="20"/>
    </w:rPr>
  </w:style>
  <w:style w:type="paragraph" w:styleId="Nadpis3">
    <w:name w:val="heading 3"/>
    <w:basedOn w:val="Normln"/>
    <w:next w:val="Normln"/>
    <w:link w:val="Nadpis3Char"/>
    <w:autoRedefine/>
    <w:qFormat/>
    <w:rsid w:val="001B2CFC"/>
    <w:pPr>
      <w:keepNext/>
      <w:numPr>
        <w:ilvl w:val="2"/>
        <w:numId w:val="1"/>
      </w:numPr>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B2CFC"/>
    <w:rPr>
      <w:rFonts w:ascii="Calibri" w:eastAsia="Batang" w:hAnsi="Calibri" w:cs="Arial"/>
      <w:b/>
      <w:bCs/>
      <w:kern w:val="32"/>
      <w:sz w:val="32"/>
      <w:szCs w:val="32"/>
      <w:lang w:eastAsia="cs-CZ"/>
    </w:rPr>
  </w:style>
  <w:style w:type="character" w:customStyle="1" w:styleId="Nadpis3Char">
    <w:name w:val="Nadpis 3 Char"/>
    <w:basedOn w:val="Standardnpsmoodstavce"/>
    <w:link w:val="Nadpis3"/>
    <w:rsid w:val="001B2CFC"/>
    <w:rPr>
      <w:rFonts w:ascii="Calibri" w:eastAsia="Batang" w:hAnsi="Calibri" w:cs="Arial"/>
      <w:b/>
      <w:bCs/>
      <w:sz w:val="24"/>
      <w:szCs w:val="26"/>
      <w:lang w:eastAsia="cs-CZ"/>
    </w:rPr>
  </w:style>
  <w:style w:type="paragraph" w:customStyle="1" w:styleId="Nadpis21">
    <w:name w:val="Nadpis 21"/>
    <w:basedOn w:val="Normln"/>
    <w:next w:val="Normln"/>
    <w:autoRedefine/>
    <w:rsid w:val="001B2CFC"/>
    <w:pPr>
      <w:keepNext/>
      <w:numPr>
        <w:ilvl w:val="1"/>
        <w:numId w:val="1"/>
      </w:numPr>
      <w:spacing w:before="360" w:after="60"/>
      <w:ind w:left="709" w:firstLine="0"/>
      <w:outlineLvl w:val="1"/>
    </w:pPr>
    <w:rPr>
      <w:rFonts w:cs="Arial"/>
      <w:b/>
      <w:bCs/>
      <w:iCs/>
      <w:sz w:val="28"/>
      <w:szCs w:val="28"/>
    </w:rPr>
  </w:style>
  <w:style w:type="paragraph" w:styleId="Zhlav">
    <w:name w:val="header"/>
    <w:basedOn w:val="Normln"/>
    <w:link w:val="ZhlavChar"/>
    <w:uiPriority w:val="99"/>
    <w:unhideWhenUsed/>
    <w:rsid w:val="001B2C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CFC"/>
    <w:rPr>
      <w:rFonts w:ascii="Calibri" w:eastAsia="Batang" w:hAnsi="Calibri" w:cs="Calibri"/>
      <w:sz w:val="24"/>
      <w:szCs w:val="24"/>
      <w:lang w:eastAsia="cs-CZ"/>
    </w:rPr>
  </w:style>
  <w:style w:type="paragraph" w:styleId="Zpat">
    <w:name w:val="footer"/>
    <w:basedOn w:val="Normln"/>
    <w:link w:val="ZpatChar"/>
    <w:uiPriority w:val="99"/>
    <w:unhideWhenUsed/>
    <w:rsid w:val="001B2CFC"/>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CFC"/>
    <w:rPr>
      <w:rFonts w:ascii="Calibri" w:eastAsia="Batang" w:hAnsi="Calibri" w:cs="Calibri"/>
      <w:sz w:val="24"/>
      <w:szCs w:val="24"/>
      <w:lang w:eastAsia="cs-CZ"/>
    </w:rPr>
  </w:style>
  <w:style w:type="character" w:customStyle="1" w:styleId="Nadpis2Char">
    <w:name w:val="Nadpis 2 Char"/>
    <w:basedOn w:val="Standardnpsmoodstavce"/>
    <w:link w:val="Nadpis2"/>
    <w:uiPriority w:val="99"/>
    <w:rsid w:val="00D63905"/>
    <w:rPr>
      <w:rFonts w:ascii="Calibri" w:eastAsia="Times New Roman" w:hAnsi="Calibri" w:cs="Times New Roman"/>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https://www.esfcr.cz/documents/21802/799076/Logo+OPZ+barevn%C3%A9/d8fa3b25-df28-4abc-adde-b9ecbb4c2430?version=1.1&amp;t=149380170197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1820</Words>
  <Characters>10739</Characters>
  <Application>Microsoft Office Word</Application>
  <DocSecurity>0</DocSecurity>
  <Lines>89</Lines>
  <Paragraphs>25</Paragraphs>
  <ScaleCrop>false</ScaleCrop>
  <Company/>
  <LinksUpToDate>false</LinksUpToDate>
  <CharactersWithSpaces>12534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Šustrová</dc:creator>
  <cp:keywords/>
  <dc:description/>
  <cp:lastModifiedBy>Michaela Šustrová</cp:lastModifiedBy>
  <cp:revision>2</cp:revision>
  <dcterms:created xsi:type="dcterms:W3CDTF">2020-06-01T18:04:00Z</dcterms:created>
  <dcterms:modified xsi:type="dcterms:W3CDTF">2020-06-01T18:04:00Z</dcterms:modified>
</cp:coreProperties>
</file>